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4B95F" w14:textId="537B0A6C" w:rsidR="00A74F2D" w:rsidRPr="00FF5388" w:rsidRDefault="00FF5388" w:rsidP="008F5BB0">
      <w:pPr>
        <w:pStyle w:val="Heading1"/>
      </w:pPr>
      <w:r w:rsidRPr="00FF5388">
        <w:t>AI Technical Sandbox Consultation</w:t>
      </w:r>
    </w:p>
    <w:p w14:paraId="1E2DAFB6" w14:textId="77777777" w:rsidR="00FF5388" w:rsidRDefault="00FF5388">
      <w:pPr>
        <w:rPr>
          <w:rFonts w:ascii="Calibri" w:hAnsi="Calibri" w:cs="Calibri"/>
        </w:rPr>
      </w:pPr>
    </w:p>
    <w:p w14:paraId="41B39CD5" w14:textId="70EE4256" w:rsidR="007B3AB2" w:rsidRPr="007B3AB2" w:rsidRDefault="007B3AB2" w:rsidP="007B3AB2">
      <w:pPr>
        <w:rPr>
          <w:rFonts w:ascii="Calibri" w:hAnsi="Calibri" w:cs="Calibri"/>
        </w:rPr>
      </w:pPr>
      <w:r w:rsidRPr="007B3AB2">
        <w:rPr>
          <w:rFonts w:ascii="Calibri" w:hAnsi="Calibri" w:cs="Calibri"/>
        </w:rPr>
        <w:t xml:space="preserve">Thank you for the opportunity to respond to this consultation. Northern Gas Networks (NGN) welcomes the opportunity to provide feedback on the proposed </w:t>
      </w:r>
      <w:r w:rsidR="007A750C">
        <w:rPr>
          <w:rFonts w:ascii="Calibri" w:hAnsi="Calibri" w:cs="Calibri"/>
        </w:rPr>
        <w:t>AI Technical Sandbox</w:t>
      </w:r>
      <w:r w:rsidRPr="007B3AB2">
        <w:rPr>
          <w:rFonts w:ascii="Calibri" w:hAnsi="Calibri" w:cs="Calibri"/>
        </w:rPr>
        <w:t>.</w:t>
      </w:r>
    </w:p>
    <w:p w14:paraId="7DDC2CD0" w14:textId="18EA2EA9" w:rsidR="007B3AB2" w:rsidRPr="007B3AB2" w:rsidRDefault="007B3AB2" w:rsidP="007B3AB2">
      <w:pPr>
        <w:rPr>
          <w:rFonts w:ascii="Calibri" w:hAnsi="Calibri" w:cs="Calibri"/>
        </w:rPr>
      </w:pPr>
      <w:r w:rsidRPr="007B3AB2">
        <w:rPr>
          <w:rFonts w:ascii="Calibri" w:hAnsi="Calibri" w:cs="Calibri"/>
        </w:rPr>
        <w:t xml:space="preserve">Our response to the questions that you have raised in your consultation are provided </w:t>
      </w:r>
      <w:r w:rsidR="007A750C">
        <w:rPr>
          <w:rFonts w:ascii="Calibri" w:hAnsi="Calibri" w:cs="Calibri"/>
        </w:rPr>
        <w:t>below</w:t>
      </w:r>
      <w:r w:rsidRPr="007B3AB2">
        <w:rPr>
          <w:rFonts w:ascii="Calibri" w:hAnsi="Calibri" w:cs="Calibri"/>
        </w:rPr>
        <w:t xml:space="preserve">. </w:t>
      </w:r>
    </w:p>
    <w:p w14:paraId="67961386" w14:textId="77777777" w:rsidR="00FF5388" w:rsidRDefault="00FF5388">
      <w:pPr>
        <w:rPr>
          <w:rFonts w:ascii="Calibri" w:hAnsi="Calibri" w:cs="Calibri"/>
        </w:rPr>
      </w:pPr>
    </w:p>
    <w:p w14:paraId="6603A2A9" w14:textId="77777777" w:rsidR="007A750C" w:rsidRDefault="007A750C">
      <w:pPr>
        <w:rPr>
          <w:rFonts w:ascii="Calibri" w:hAnsi="Calibri" w:cs="Calibri"/>
        </w:rPr>
      </w:pPr>
    </w:p>
    <w:p w14:paraId="4A6C3F92" w14:textId="77777777" w:rsidR="007A750C" w:rsidRDefault="007A750C">
      <w:pPr>
        <w:rPr>
          <w:rFonts w:ascii="Calibri" w:hAnsi="Calibri" w:cs="Calibri"/>
        </w:rPr>
      </w:pPr>
    </w:p>
    <w:p w14:paraId="76DD69F2" w14:textId="77777777" w:rsidR="007A750C" w:rsidRPr="00FF5388" w:rsidRDefault="007A750C">
      <w:pPr>
        <w:rPr>
          <w:rFonts w:ascii="Calibri" w:hAnsi="Calibri" w:cs="Calibri"/>
        </w:rPr>
      </w:pPr>
    </w:p>
    <w:p w14:paraId="28D98EE2" w14:textId="0D2BA375" w:rsidR="00FF5388" w:rsidRPr="00FF5388" w:rsidRDefault="00FF5388" w:rsidP="00C47564">
      <w:pPr>
        <w:pStyle w:val="Heading2"/>
      </w:pPr>
      <w:r w:rsidRPr="00FF5388">
        <w:t>Consultation questions &amp; responses</w:t>
      </w:r>
    </w:p>
    <w:p w14:paraId="4AAC4178" w14:textId="33F2A3E9" w:rsidR="00FF5388" w:rsidRPr="00C47564" w:rsidRDefault="00FF5388" w:rsidP="00FF5388">
      <w:pPr>
        <w:rPr>
          <w:rFonts w:ascii="Calibri" w:hAnsi="Calibri" w:cs="Calibri"/>
          <w:b/>
          <w:bCs/>
        </w:rPr>
      </w:pPr>
      <w:r w:rsidRPr="00C47564">
        <w:rPr>
          <w:rStyle w:val="Heading3Char"/>
          <w:rFonts w:ascii="Calibri" w:hAnsi="Calibri" w:cs="Calibri"/>
          <w:b/>
          <w:bCs/>
          <w:color w:val="auto"/>
          <w:sz w:val="24"/>
          <w:szCs w:val="24"/>
        </w:rPr>
        <w:t>Q1. Eligibility and participation</w:t>
      </w:r>
      <w:r w:rsidRPr="00C47564">
        <w:rPr>
          <w:rFonts w:ascii="Calibri" w:hAnsi="Calibri" w:cs="Calibri"/>
          <w:b/>
          <w:bCs/>
        </w:rPr>
        <w:t xml:space="preserve"> </w:t>
      </w:r>
      <w:r w:rsidRPr="00C47564">
        <w:rPr>
          <w:rFonts w:ascii="Calibri" w:hAnsi="Calibri" w:cs="Calibri"/>
          <w:b/>
          <w:bCs/>
          <w:sz w:val="24"/>
          <w:szCs w:val="24"/>
        </w:rPr>
        <w:t>- Do you agree with the proposed eligibility criteria for lead participants (licensees, market participants, and operators of essential services) and the encouragement of partnerships with technology providers, academia, and other innovators?  Please explain your reasoning.</w:t>
      </w:r>
    </w:p>
    <w:p w14:paraId="18347AB5" w14:textId="0076C6CF" w:rsidR="00FF5388" w:rsidRDefault="00FF5388" w:rsidP="00FF5388">
      <w:pPr>
        <w:rPr>
          <w:rFonts w:ascii="Calibri" w:hAnsi="Calibri" w:cs="Calibri"/>
        </w:rPr>
      </w:pPr>
      <w:r w:rsidRPr="00FF5388">
        <w:rPr>
          <w:rFonts w:ascii="Calibri" w:hAnsi="Calibri" w:cs="Calibri"/>
        </w:rPr>
        <w:t>From a Northern Gas Networks perspective, the proposed eligibility and partnership model is appropriate, proportionate and well aligned with the realities of deploying AI in safety critical energy infrastructure.</w:t>
      </w:r>
      <w:r w:rsidR="00DE332A">
        <w:rPr>
          <w:rFonts w:ascii="Calibri" w:hAnsi="Calibri" w:cs="Calibri"/>
        </w:rPr>
        <w:t xml:space="preserve"> </w:t>
      </w:r>
      <w:r w:rsidRPr="00FF5388">
        <w:rPr>
          <w:rFonts w:ascii="Calibri" w:hAnsi="Calibri" w:cs="Calibri"/>
        </w:rPr>
        <w:t>It</w:t>
      </w:r>
      <w:r w:rsidR="00DE332A">
        <w:rPr>
          <w:rFonts w:ascii="Calibri" w:hAnsi="Calibri" w:cs="Calibri"/>
        </w:rPr>
        <w:t xml:space="preserve"> provides p</w:t>
      </w:r>
      <w:r w:rsidRPr="00FF5388">
        <w:rPr>
          <w:rFonts w:ascii="Calibri" w:hAnsi="Calibri" w:cs="Calibri"/>
        </w:rPr>
        <w:t>rotect</w:t>
      </w:r>
      <w:r w:rsidR="00DE332A">
        <w:rPr>
          <w:rFonts w:ascii="Calibri" w:hAnsi="Calibri" w:cs="Calibri"/>
        </w:rPr>
        <w:t>ion</w:t>
      </w:r>
      <w:r w:rsidRPr="00FF5388">
        <w:rPr>
          <w:rFonts w:ascii="Calibri" w:hAnsi="Calibri" w:cs="Calibri"/>
        </w:rPr>
        <w:t xml:space="preserve">s </w:t>
      </w:r>
      <w:r w:rsidR="00DE332A">
        <w:rPr>
          <w:rFonts w:ascii="Calibri" w:hAnsi="Calibri" w:cs="Calibri"/>
        </w:rPr>
        <w:t xml:space="preserve">to </w:t>
      </w:r>
      <w:r w:rsidRPr="00FF5388">
        <w:rPr>
          <w:rFonts w:ascii="Calibri" w:hAnsi="Calibri" w:cs="Calibri"/>
        </w:rPr>
        <w:t xml:space="preserve">consumers and </w:t>
      </w:r>
      <w:r w:rsidR="00DE332A">
        <w:rPr>
          <w:rFonts w:ascii="Calibri" w:hAnsi="Calibri" w:cs="Calibri"/>
        </w:rPr>
        <w:t xml:space="preserve">to </w:t>
      </w:r>
      <w:r w:rsidRPr="00FF5388">
        <w:rPr>
          <w:rFonts w:ascii="Calibri" w:hAnsi="Calibri" w:cs="Calibri"/>
        </w:rPr>
        <w:t>system integrity,</w:t>
      </w:r>
      <w:r w:rsidR="00DE332A">
        <w:rPr>
          <w:rFonts w:ascii="Calibri" w:hAnsi="Calibri" w:cs="Calibri"/>
        </w:rPr>
        <w:t xml:space="preserve"> it e</w:t>
      </w:r>
      <w:r w:rsidRPr="00FF5388">
        <w:rPr>
          <w:rFonts w:ascii="Calibri" w:hAnsi="Calibri" w:cs="Calibri"/>
        </w:rPr>
        <w:t xml:space="preserve">nables meaningful </w:t>
      </w:r>
      <w:r w:rsidR="00C47564">
        <w:rPr>
          <w:rFonts w:ascii="Calibri" w:hAnsi="Calibri" w:cs="Calibri"/>
        </w:rPr>
        <w:t xml:space="preserve">industry and </w:t>
      </w:r>
      <w:r w:rsidRPr="00FF5388">
        <w:rPr>
          <w:rFonts w:ascii="Calibri" w:hAnsi="Calibri" w:cs="Calibri"/>
        </w:rPr>
        <w:t>regulatory learning,</w:t>
      </w:r>
      <w:r w:rsidR="00DE332A">
        <w:rPr>
          <w:rFonts w:ascii="Calibri" w:hAnsi="Calibri" w:cs="Calibri"/>
        </w:rPr>
        <w:t xml:space="preserve"> a</w:t>
      </w:r>
      <w:r w:rsidRPr="00FF5388">
        <w:rPr>
          <w:rFonts w:ascii="Calibri" w:hAnsi="Calibri" w:cs="Calibri"/>
        </w:rPr>
        <w:t xml:space="preserve">nd creates a credible pathway for AI to move from </w:t>
      </w:r>
      <w:r w:rsidR="00844647">
        <w:rPr>
          <w:rFonts w:ascii="Calibri" w:hAnsi="Calibri" w:cs="Calibri"/>
        </w:rPr>
        <w:t>development</w:t>
      </w:r>
      <w:r w:rsidRPr="00FF5388">
        <w:rPr>
          <w:rFonts w:ascii="Calibri" w:hAnsi="Calibri" w:cs="Calibri"/>
        </w:rPr>
        <w:t xml:space="preserve"> to </w:t>
      </w:r>
      <w:r w:rsidR="00844647">
        <w:rPr>
          <w:rFonts w:ascii="Calibri" w:hAnsi="Calibri" w:cs="Calibri"/>
        </w:rPr>
        <w:t>secure and reliable</w:t>
      </w:r>
      <w:r w:rsidRPr="00FF5388">
        <w:rPr>
          <w:rFonts w:ascii="Calibri" w:hAnsi="Calibri" w:cs="Calibri"/>
        </w:rPr>
        <w:t xml:space="preserve"> </w:t>
      </w:r>
      <w:r w:rsidR="00A96CBF">
        <w:rPr>
          <w:rFonts w:ascii="Calibri" w:hAnsi="Calibri" w:cs="Calibri"/>
        </w:rPr>
        <w:t>operation</w:t>
      </w:r>
      <w:r w:rsidRPr="00FF5388">
        <w:rPr>
          <w:rFonts w:ascii="Calibri" w:hAnsi="Calibri" w:cs="Calibri"/>
        </w:rPr>
        <w:t>.</w:t>
      </w:r>
    </w:p>
    <w:p w14:paraId="2110B2B9" w14:textId="700FF869" w:rsidR="00C47564" w:rsidRDefault="00844647" w:rsidP="00844647">
      <w:pPr>
        <w:rPr>
          <w:rFonts w:ascii="Calibri" w:hAnsi="Calibri" w:cs="Calibri"/>
        </w:rPr>
      </w:pPr>
      <w:r>
        <w:rPr>
          <w:rFonts w:ascii="Calibri" w:hAnsi="Calibri" w:cs="Calibri"/>
        </w:rPr>
        <w:t>The</w:t>
      </w:r>
      <w:r w:rsidRPr="00844647">
        <w:rPr>
          <w:rFonts w:ascii="Calibri" w:hAnsi="Calibri" w:cs="Calibri"/>
        </w:rPr>
        <w:t xml:space="preserve"> eligibility criteria </w:t>
      </w:r>
      <w:r>
        <w:rPr>
          <w:rFonts w:ascii="Calibri" w:hAnsi="Calibri" w:cs="Calibri"/>
        </w:rPr>
        <w:t xml:space="preserve">provide </w:t>
      </w:r>
      <w:r w:rsidRPr="00844647">
        <w:rPr>
          <w:rFonts w:ascii="Calibri" w:hAnsi="Calibri" w:cs="Calibri"/>
        </w:rPr>
        <w:t xml:space="preserve">a clear </w:t>
      </w:r>
      <w:r>
        <w:rPr>
          <w:rFonts w:ascii="Calibri" w:hAnsi="Calibri" w:cs="Calibri"/>
        </w:rPr>
        <w:t>responsibility and accountability within licensees</w:t>
      </w:r>
      <w:r w:rsidRPr="00844647">
        <w:rPr>
          <w:rFonts w:ascii="Calibri" w:hAnsi="Calibri" w:cs="Calibri"/>
        </w:rPr>
        <w:t xml:space="preserve"> for safety, consumer outcomes and compliance.</w:t>
      </w:r>
      <w:r>
        <w:rPr>
          <w:rFonts w:ascii="Calibri" w:hAnsi="Calibri" w:cs="Calibri"/>
        </w:rPr>
        <w:t xml:space="preserve"> The criteria provide </w:t>
      </w:r>
      <w:r w:rsidRPr="00844647">
        <w:rPr>
          <w:rFonts w:ascii="Calibri" w:hAnsi="Calibri" w:cs="Calibri"/>
        </w:rPr>
        <w:t xml:space="preserve">Ofgem </w:t>
      </w:r>
      <w:r>
        <w:rPr>
          <w:rFonts w:ascii="Calibri" w:hAnsi="Calibri" w:cs="Calibri"/>
        </w:rPr>
        <w:t>with the framework to</w:t>
      </w:r>
      <w:r w:rsidRPr="00844647">
        <w:rPr>
          <w:rFonts w:ascii="Calibri" w:hAnsi="Calibri" w:cs="Calibri"/>
        </w:rPr>
        <w:t xml:space="preserve"> exercise effective oversight and enforcement where risks emerge</w:t>
      </w:r>
      <w:r>
        <w:rPr>
          <w:rFonts w:ascii="Calibri" w:hAnsi="Calibri" w:cs="Calibri"/>
        </w:rPr>
        <w:t xml:space="preserve">, whilst ensuring that </w:t>
      </w:r>
      <w:r w:rsidRPr="00844647">
        <w:rPr>
          <w:rFonts w:ascii="Calibri" w:hAnsi="Calibri" w:cs="Calibri"/>
        </w:rPr>
        <w:t xml:space="preserve">findings are grounded in organisations already subject to </w:t>
      </w:r>
      <w:r>
        <w:rPr>
          <w:rFonts w:ascii="Calibri" w:hAnsi="Calibri" w:cs="Calibri"/>
        </w:rPr>
        <w:t>legal and licence</w:t>
      </w:r>
      <w:r w:rsidRPr="00844647">
        <w:rPr>
          <w:rFonts w:ascii="Calibri" w:hAnsi="Calibri" w:cs="Calibri"/>
        </w:rPr>
        <w:t xml:space="preserve"> obligations (e.g. safety, </w:t>
      </w:r>
      <w:r>
        <w:rPr>
          <w:rFonts w:ascii="Calibri" w:hAnsi="Calibri" w:cs="Calibri"/>
        </w:rPr>
        <w:t>reliability/resilience</w:t>
      </w:r>
      <w:r w:rsidRPr="00844647">
        <w:rPr>
          <w:rFonts w:ascii="Calibri" w:hAnsi="Calibri" w:cs="Calibri"/>
        </w:rPr>
        <w:t>, data protection).</w:t>
      </w:r>
      <w:r>
        <w:rPr>
          <w:rFonts w:ascii="Calibri" w:hAnsi="Calibri" w:cs="Calibri"/>
        </w:rPr>
        <w:t xml:space="preserve"> </w:t>
      </w:r>
      <w:r w:rsidRPr="00844647">
        <w:rPr>
          <w:rFonts w:ascii="Calibri" w:hAnsi="Calibri" w:cs="Calibri"/>
        </w:rPr>
        <w:t>For GDNs, this is essential. Many AI use cases (</w:t>
      </w:r>
      <w:r w:rsidR="00F60CC4">
        <w:rPr>
          <w:rFonts w:ascii="Calibri" w:hAnsi="Calibri" w:cs="Calibri"/>
        </w:rPr>
        <w:t>such as</w:t>
      </w:r>
      <w:r w:rsidRPr="00844647">
        <w:rPr>
          <w:rFonts w:ascii="Calibri" w:hAnsi="Calibri" w:cs="Calibri"/>
        </w:rPr>
        <w:t xml:space="preserve"> leakage prediction, asset failure forecasting, emergency response optimisation</w:t>
      </w:r>
      <w:r w:rsidR="00961BDA">
        <w:rPr>
          <w:rFonts w:ascii="Calibri" w:hAnsi="Calibri" w:cs="Calibri"/>
        </w:rPr>
        <w:t xml:space="preserve"> etc</w:t>
      </w:r>
      <w:r w:rsidRPr="00844647">
        <w:rPr>
          <w:rFonts w:ascii="Calibri" w:hAnsi="Calibri" w:cs="Calibri"/>
        </w:rPr>
        <w:t>) are safety critical and cannot credibly be trialled without a regulated operator holding accountability end to end.</w:t>
      </w:r>
    </w:p>
    <w:p w14:paraId="11979B69" w14:textId="5E9EB171" w:rsidR="00C47564" w:rsidRDefault="000A6779" w:rsidP="00A96CBF">
      <w:pPr>
        <w:rPr>
          <w:rFonts w:ascii="Calibri" w:hAnsi="Calibri" w:cs="Calibri"/>
        </w:rPr>
      </w:pPr>
      <w:r w:rsidRPr="000A6779">
        <w:rPr>
          <w:rFonts w:ascii="Calibri" w:hAnsi="Calibri" w:cs="Calibri"/>
        </w:rPr>
        <w:t>Licensees</w:t>
      </w:r>
      <w:r w:rsidR="00A96CBF">
        <w:rPr>
          <w:rFonts w:ascii="Calibri" w:hAnsi="Calibri" w:cs="Calibri"/>
        </w:rPr>
        <w:t xml:space="preserve"> and</w:t>
      </w:r>
      <w:r w:rsidRPr="000A6779">
        <w:rPr>
          <w:rFonts w:ascii="Calibri" w:hAnsi="Calibri" w:cs="Calibri"/>
        </w:rPr>
        <w:t xml:space="preserve"> </w:t>
      </w:r>
      <w:r>
        <w:rPr>
          <w:rFonts w:ascii="Calibri" w:hAnsi="Calibri" w:cs="Calibri"/>
        </w:rPr>
        <w:t>e</w:t>
      </w:r>
      <w:r w:rsidR="00544BFC">
        <w:rPr>
          <w:rFonts w:ascii="Calibri" w:hAnsi="Calibri" w:cs="Calibri"/>
        </w:rPr>
        <w:t>ssential service</w:t>
      </w:r>
      <w:r>
        <w:rPr>
          <w:rFonts w:ascii="Calibri" w:hAnsi="Calibri" w:cs="Calibri"/>
        </w:rPr>
        <w:t xml:space="preserve"> operators</w:t>
      </w:r>
      <w:r w:rsidRPr="000A6779">
        <w:rPr>
          <w:rFonts w:ascii="Calibri" w:hAnsi="Calibri" w:cs="Calibri"/>
        </w:rPr>
        <w:t xml:space="preserve"> are uniquely placed to </w:t>
      </w:r>
      <w:r>
        <w:rPr>
          <w:rFonts w:ascii="Calibri" w:hAnsi="Calibri" w:cs="Calibri"/>
        </w:rPr>
        <w:t xml:space="preserve">either </w:t>
      </w:r>
      <w:r w:rsidRPr="000A6779">
        <w:rPr>
          <w:rFonts w:ascii="Calibri" w:hAnsi="Calibri" w:cs="Calibri"/>
        </w:rPr>
        <w:t xml:space="preserve">provide </w:t>
      </w:r>
      <w:r>
        <w:rPr>
          <w:rFonts w:ascii="Calibri" w:hAnsi="Calibri" w:cs="Calibri"/>
        </w:rPr>
        <w:t>r</w:t>
      </w:r>
      <w:r w:rsidRPr="000A6779">
        <w:rPr>
          <w:rFonts w:ascii="Calibri" w:hAnsi="Calibri" w:cs="Calibri"/>
        </w:rPr>
        <w:t>e</w:t>
      </w:r>
      <w:r>
        <w:rPr>
          <w:rFonts w:ascii="Calibri" w:hAnsi="Calibri" w:cs="Calibri"/>
        </w:rPr>
        <w:t>al</w:t>
      </w:r>
      <w:r w:rsidRPr="000A6779">
        <w:rPr>
          <w:rFonts w:ascii="Calibri" w:hAnsi="Calibri" w:cs="Calibri"/>
        </w:rPr>
        <w:t xml:space="preserve"> operational data (assets, incidents, customers, demand, geo</w:t>
      </w:r>
      <w:r>
        <w:rPr>
          <w:rFonts w:ascii="Calibri" w:hAnsi="Calibri" w:cs="Calibri"/>
        </w:rPr>
        <w:t>spatial &amp; transactional data</w:t>
      </w:r>
      <w:r w:rsidRPr="000A6779">
        <w:rPr>
          <w:rFonts w:ascii="Calibri" w:hAnsi="Calibri" w:cs="Calibri"/>
        </w:rPr>
        <w:t>)</w:t>
      </w:r>
      <w:r>
        <w:rPr>
          <w:rFonts w:ascii="Calibri" w:hAnsi="Calibri" w:cs="Calibri"/>
        </w:rPr>
        <w:t>, or design sector-specific synthetic data. This data, combined with the</w:t>
      </w:r>
      <w:r w:rsidR="000F0026">
        <w:rPr>
          <w:rFonts w:ascii="Calibri" w:hAnsi="Calibri" w:cs="Calibri"/>
        </w:rPr>
        <w:t xml:space="preserve"> participants</w:t>
      </w:r>
      <w:r w:rsidRPr="000A6779">
        <w:rPr>
          <w:rFonts w:ascii="Calibri" w:hAnsi="Calibri" w:cs="Calibri"/>
        </w:rPr>
        <w:t xml:space="preserve"> understanding of </w:t>
      </w:r>
      <w:r w:rsidR="000250E0">
        <w:rPr>
          <w:rFonts w:ascii="Calibri" w:hAnsi="Calibri" w:cs="Calibri"/>
        </w:rPr>
        <w:t xml:space="preserve">sector-specific </w:t>
      </w:r>
      <w:r w:rsidRPr="000A6779">
        <w:rPr>
          <w:rFonts w:ascii="Calibri" w:hAnsi="Calibri" w:cs="Calibri"/>
        </w:rPr>
        <w:t>engineering, operational and safety constraints</w:t>
      </w:r>
      <w:r w:rsidR="000250E0">
        <w:rPr>
          <w:rFonts w:ascii="Calibri" w:hAnsi="Calibri" w:cs="Calibri"/>
        </w:rPr>
        <w:t xml:space="preserve">, and the </w:t>
      </w:r>
      <w:r w:rsidR="000F0026">
        <w:rPr>
          <w:rFonts w:ascii="Calibri" w:hAnsi="Calibri" w:cs="Calibri"/>
        </w:rPr>
        <w:t>key</w:t>
      </w:r>
      <w:r w:rsidR="000250E0">
        <w:rPr>
          <w:rFonts w:ascii="Calibri" w:hAnsi="Calibri" w:cs="Calibri"/>
        </w:rPr>
        <w:t xml:space="preserve"> </w:t>
      </w:r>
      <w:r w:rsidRPr="000A6779">
        <w:rPr>
          <w:rFonts w:ascii="Calibri" w:hAnsi="Calibri" w:cs="Calibri"/>
        </w:rPr>
        <w:t>processes and decision</w:t>
      </w:r>
      <w:r w:rsidR="000250E0">
        <w:rPr>
          <w:rFonts w:ascii="Calibri" w:hAnsi="Calibri" w:cs="Calibri"/>
        </w:rPr>
        <w:t>-</w:t>
      </w:r>
      <w:r w:rsidRPr="000A6779">
        <w:rPr>
          <w:rFonts w:ascii="Calibri" w:hAnsi="Calibri" w:cs="Calibri"/>
        </w:rPr>
        <w:t>making</w:t>
      </w:r>
      <w:r w:rsidR="000F0026">
        <w:rPr>
          <w:rFonts w:ascii="Calibri" w:hAnsi="Calibri" w:cs="Calibri"/>
        </w:rPr>
        <w:t xml:space="preserve"> involved, will </w:t>
      </w:r>
      <w:r w:rsidR="00A96CBF">
        <w:rPr>
          <w:rFonts w:ascii="Calibri" w:hAnsi="Calibri" w:cs="Calibri"/>
        </w:rPr>
        <w:t>meaningful testing of AI solutions</w:t>
      </w:r>
      <w:r w:rsidRPr="000A6779">
        <w:rPr>
          <w:rFonts w:ascii="Calibri" w:hAnsi="Calibri" w:cs="Calibri"/>
        </w:rPr>
        <w:t>.</w:t>
      </w:r>
      <w:r w:rsidR="00A96CBF">
        <w:rPr>
          <w:rFonts w:ascii="Calibri" w:hAnsi="Calibri" w:cs="Calibri"/>
        </w:rPr>
        <w:t xml:space="preserve"> However, we would need some c</w:t>
      </w:r>
      <w:r w:rsidR="00A96CBF" w:rsidRPr="00A96CBF">
        <w:rPr>
          <w:rFonts w:ascii="Calibri" w:hAnsi="Calibri" w:cs="Calibri"/>
        </w:rPr>
        <w:t xml:space="preserve">larity on </w:t>
      </w:r>
      <w:r w:rsidR="00B607F0">
        <w:rPr>
          <w:rFonts w:ascii="Calibri" w:hAnsi="Calibri" w:cs="Calibri"/>
        </w:rPr>
        <w:t>‘</w:t>
      </w:r>
      <w:r w:rsidR="00A96CBF" w:rsidRPr="00A96CBF">
        <w:rPr>
          <w:rFonts w:ascii="Calibri" w:hAnsi="Calibri" w:cs="Calibri"/>
        </w:rPr>
        <w:t>market participants</w:t>
      </w:r>
      <w:r w:rsidR="00B607F0">
        <w:rPr>
          <w:rFonts w:ascii="Calibri" w:hAnsi="Calibri" w:cs="Calibri"/>
        </w:rPr>
        <w:t>’</w:t>
      </w:r>
      <w:r w:rsidR="00A96CBF" w:rsidRPr="00A96CBF">
        <w:rPr>
          <w:rFonts w:ascii="Calibri" w:hAnsi="Calibri" w:cs="Calibri"/>
        </w:rPr>
        <w:t xml:space="preserve"> in a network context</w:t>
      </w:r>
      <w:r w:rsidR="00544BFC">
        <w:rPr>
          <w:rFonts w:ascii="Calibri" w:hAnsi="Calibri" w:cs="Calibri"/>
        </w:rPr>
        <w:t>. If this includes non-licensed organisations then we suggest that Ofgem could c</w:t>
      </w:r>
      <w:r w:rsidR="00A96CBF" w:rsidRPr="00A96CBF">
        <w:rPr>
          <w:rFonts w:ascii="Calibri" w:hAnsi="Calibri" w:cs="Calibri"/>
        </w:rPr>
        <w:t>larify expectations around data access, safety obligations and assurance for</w:t>
      </w:r>
      <w:r w:rsidR="00544BFC">
        <w:rPr>
          <w:rFonts w:ascii="Calibri" w:hAnsi="Calibri" w:cs="Calibri"/>
        </w:rPr>
        <w:t xml:space="preserve"> these</w:t>
      </w:r>
      <w:r w:rsidR="00A96CBF" w:rsidRPr="00A96CBF">
        <w:rPr>
          <w:rFonts w:ascii="Calibri" w:hAnsi="Calibri" w:cs="Calibri"/>
        </w:rPr>
        <w:t xml:space="preserve"> non</w:t>
      </w:r>
      <w:r w:rsidR="00544BFC">
        <w:rPr>
          <w:rFonts w:ascii="Calibri" w:hAnsi="Calibri" w:cs="Calibri"/>
        </w:rPr>
        <w:t>-</w:t>
      </w:r>
      <w:r w:rsidR="00A96CBF" w:rsidRPr="00A96CBF">
        <w:rPr>
          <w:rFonts w:ascii="Calibri" w:hAnsi="Calibri" w:cs="Calibri"/>
        </w:rPr>
        <w:t>licensed market participants</w:t>
      </w:r>
      <w:r w:rsidR="00CA6F22">
        <w:rPr>
          <w:rFonts w:ascii="Calibri" w:hAnsi="Calibri" w:cs="Calibri"/>
        </w:rPr>
        <w:t xml:space="preserve"> and adopt the same model as with other innovation projects where use-cases that impact on networks have a licensee as a lead. This would also allow for the safe inclusion of </w:t>
      </w:r>
      <w:r w:rsidR="00307B33">
        <w:rPr>
          <w:rFonts w:ascii="Calibri" w:hAnsi="Calibri" w:cs="Calibri"/>
        </w:rPr>
        <w:t xml:space="preserve">non-sector </w:t>
      </w:r>
      <w:r w:rsidR="00CA6F22">
        <w:rPr>
          <w:rFonts w:ascii="Calibri" w:hAnsi="Calibri" w:cs="Calibri"/>
        </w:rPr>
        <w:t>SME- or Academic-initiated solutions to be considered/developed.</w:t>
      </w:r>
    </w:p>
    <w:p w14:paraId="7568DEDC" w14:textId="77777777" w:rsidR="00A96CBF" w:rsidRDefault="00A96CBF" w:rsidP="000A6779">
      <w:pPr>
        <w:rPr>
          <w:rFonts w:ascii="Calibri" w:hAnsi="Calibri" w:cs="Calibri"/>
        </w:rPr>
      </w:pPr>
    </w:p>
    <w:p w14:paraId="3575940E" w14:textId="2567F393" w:rsidR="00CA6F22" w:rsidRDefault="00CA6F22" w:rsidP="00CA6F22">
      <w:pPr>
        <w:rPr>
          <w:rFonts w:ascii="Calibri" w:hAnsi="Calibri" w:cs="Calibri"/>
          <w:b/>
          <w:bCs/>
          <w:sz w:val="24"/>
          <w:szCs w:val="24"/>
        </w:rPr>
      </w:pPr>
      <w:r w:rsidRPr="00CA6F22">
        <w:rPr>
          <w:rStyle w:val="Heading3Char"/>
          <w:rFonts w:ascii="Calibri" w:hAnsi="Calibri" w:cs="Calibri"/>
          <w:b/>
          <w:bCs/>
          <w:color w:val="auto"/>
          <w:sz w:val="24"/>
          <w:szCs w:val="24"/>
        </w:rPr>
        <w:t>Q2. Use case selection</w:t>
      </w:r>
      <w:r w:rsidRPr="00CA6F22">
        <w:rPr>
          <w:rFonts w:ascii="Calibri" w:hAnsi="Calibri" w:cs="Calibri"/>
          <w:b/>
          <w:bCs/>
          <w:sz w:val="24"/>
          <w:szCs w:val="24"/>
        </w:rPr>
        <w:t xml:space="preserve"> - Are the proposed use case selection criteria (including commercial neutrality, innovation, sector impact, regulatory uncertainty, testability, governance, and data access) appropriate and sufficient to ensure a fair and transparent process? Are there other criteria, safeguards, or considerations we should include?</w:t>
      </w:r>
    </w:p>
    <w:p w14:paraId="71BBA17F" w14:textId="67028C6E" w:rsidR="00CA6F22" w:rsidRDefault="00CA6F22" w:rsidP="00CA6F22">
      <w:pPr>
        <w:rPr>
          <w:rFonts w:ascii="Calibri" w:hAnsi="Calibri" w:cs="Calibri"/>
        </w:rPr>
      </w:pPr>
      <w:r>
        <w:rPr>
          <w:rFonts w:ascii="Calibri" w:hAnsi="Calibri" w:cs="Calibri"/>
        </w:rPr>
        <w:t>NGN believes that t</w:t>
      </w:r>
      <w:r w:rsidRPr="00CA6F22">
        <w:rPr>
          <w:rFonts w:ascii="Calibri" w:hAnsi="Calibri" w:cs="Calibri"/>
        </w:rPr>
        <w:t>he proposed use case selection criteria are appropriate, well balanced and largely sufficient to ensure a fair and transparent process. They demonstrate a mature understanding of both AI risk and energy system realities.</w:t>
      </w:r>
      <w:r>
        <w:rPr>
          <w:rFonts w:ascii="Calibri" w:hAnsi="Calibri" w:cs="Calibri"/>
        </w:rPr>
        <w:t xml:space="preserve"> T</w:t>
      </w:r>
      <w:r w:rsidRPr="00CA6F22">
        <w:rPr>
          <w:rFonts w:ascii="Calibri" w:hAnsi="Calibri" w:cs="Calibri"/>
        </w:rPr>
        <w:t>he framework would be particularly well suited to networks and other safety critical operators, and would maximise the regulatory and operational value of the AI Technical Sandbox.</w:t>
      </w:r>
    </w:p>
    <w:p w14:paraId="4DFFA3EC" w14:textId="79580BC3" w:rsidR="00307B33" w:rsidRDefault="00307B33" w:rsidP="00CA6F22">
      <w:pPr>
        <w:rPr>
          <w:rFonts w:ascii="Calibri" w:hAnsi="Calibri" w:cs="Calibri"/>
        </w:rPr>
      </w:pPr>
      <w:r>
        <w:rPr>
          <w:rFonts w:ascii="Calibri" w:hAnsi="Calibri" w:cs="Calibri"/>
        </w:rPr>
        <w:t xml:space="preserve">The criterion regarding Commercial Neutrality is appropriate and essential, mitigating the risk of competitive advantage from more digitally mature licensees that could distort the value to all customers. We view the </w:t>
      </w:r>
      <w:r w:rsidRPr="00307B33">
        <w:rPr>
          <w:rFonts w:ascii="Calibri" w:hAnsi="Calibri" w:cs="Calibri"/>
        </w:rPr>
        <w:t>IP and confidentiality safeguards</w:t>
      </w:r>
      <w:r>
        <w:rPr>
          <w:rFonts w:ascii="Calibri" w:hAnsi="Calibri" w:cs="Calibri"/>
        </w:rPr>
        <w:t xml:space="preserve"> as</w:t>
      </w:r>
      <w:r w:rsidRPr="00307B33">
        <w:rPr>
          <w:rFonts w:ascii="Calibri" w:hAnsi="Calibri" w:cs="Calibri"/>
        </w:rPr>
        <w:t xml:space="preserve"> strik</w:t>
      </w:r>
      <w:r>
        <w:rPr>
          <w:rFonts w:ascii="Calibri" w:hAnsi="Calibri" w:cs="Calibri"/>
        </w:rPr>
        <w:t>ing</w:t>
      </w:r>
      <w:r w:rsidRPr="00307B33">
        <w:rPr>
          <w:rFonts w:ascii="Calibri" w:hAnsi="Calibri" w:cs="Calibri"/>
        </w:rPr>
        <w:t xml:space="preserve"> a reasonable balance between </w:t>
      </w:r>
      <w:r>
        <w:rPr>
          <w:rFonts w:ascii="Calibri" w:hAnsi="Calibri" w:cs="Calibri"/>
        </w:rPr>
        <w:t>O</w:t>
      </w:r>
      <w:r w:rsidRPr="00307B33">
        <w:rPr>
          <w:rFonts w:ascii="Calibri" w:hAnsi="Calibri" w:cs="Calibri"/>
        </w:rPr>
        <w:t>pen</w:t>
      </w:r>
      <w:r>
        <w:rPr>
          <w:rFonts w:ascii="Calibri" w:hAnsi="Calibri" w:cs="Calibri"/>
        </w:rPr>
        <w:t xml:space="preserve"> Energy principles</w:t>
      </w:r>
      <w:r w:rsidRPr="00307B33">
        <w:rPr>
          <w:rFonts w:ascii="Calibri" w:hAnsi="Calibri" w:cs="Calibri"/>
        </w:rPr>
        <w:t xml:space="preserve"> and protection</w:t>
      </w:r>
      <w:r>
        <w:rPr>
          <w:rFonts w:ascii="Calibri" w:hAnsi="Calibri" w:cs="Calibri"/>
        </w:rPr>
        <w:t>.</w:t>
      </w:r>
    </w:p>
    <w:p w14:paraId="08CFCB7E" w14:textId="404BBF7B" w:rsidR="00CA6F22" w:rsidRPr="0073567D" w:rsidRDefault="00B30147" w:rsidP="00CA6F22">
      <w:pPr>
        <w:rPr>
          <w:rFonts w:ascii="Calibri" w:hAnsi="Calibri" w:cs="Calibri"/>
        </w:rPr>
      </w:pPr>
      <w:r>
        <w:rPr>
          <w:rFonts w:ascii="Calibri" w:hAnsi="Calibri" w:cs="Calibri"/>
        </w:rPr>
        <w:t>The r</w:t>
      </w:r>
      <w:r w:rsidRPr="00B30147">
        <w:rPr>
          <w:rFonts w:ascii="Calibri" w:hAnsi="Calibri" w:cs="Calibri"/>
        </w:rPr>
        <w:t>equir</w:t>
      </w:r>
      <w:r>
        <w:rPr>
          <w:rFonts w:ascii="Calibri" w:hAnsi="Calibri" w:cs="Calibri"/>
        </w:rPr>
        <w:t>ement that</w:t>
      </w:r>
      <w:r w:rsidRPr="00B30147">
        <w:rPr>
          <w:rFonts w:ascii="Calibri" w:hAnsi="Calibri" w:cs="Calibri"/>
        </w:rPr>
        <w:t xml:space="preserve"> use cases </w:t>
      </w:r>
      <w:r>
        <w:rPr>
          <w:rFonts w:ascii="Calibri" w:hAnsi="Calibri" w:cs="Calibri"/>
        </w:rPr>
        <w:t>are</w:t>
      </w:r>
      <w:r w:rsidRPr="00B30147">
        <w:rPr>
          <w:rFonts w:ascii="Calibri" w:hAnsi="Calibri" w:cs="Calibri"/>
        </w:rPr>
        <w:t xml:space="preserve"> </w:t>
      </w:r>
      <w:r>
        <w:rPr>
          <w:rFonts w:ascii="Calibri" w:hAnsi="Calibri" w:cs="Calibri"/>
        </w:rPr>
        <w:t>‘</w:t>
      </w:r>
      <w:r w:rsidRPr="00B30147">
        <w:rPr>
          <w:rFonts w:ascii="Calibri" w:hAnsi="Calibri" w:cs="Calibri"/>
        </w:rPr>
        <w:t>not currently possible in the live market</w:t>
      </w:r>
      <w:r>
        <w:rPr>
          <w:rFonts w:ascii="Calibri" w:hAnsi="Calibri" w:cs="Calibri"/>
        </w:rPr>
        <w:t>’</w:t>
      </w:r>
      <w:r w:rsidRPr="00B30147">
        <w:rPr>
          <w:rFonts w:ascii="Calibri" w:hAnsi="Calibri" w:cs="Calibri"/>
        </w:rPr>
        <w:t xml:space="preserve"> </w:t>
      </w:r>
      <w:r>
        <w:rPr>
          <w:rFonts w:ascii="Calibri" w:hAnsi="Calibri" w:cs="Calibri"/>
        </w:rPr>
        <w:t>aligns with current innovation parameters</w:t>
      </w:r>
      <w:r w:rsidRPr="00B30147">
        <w:rPr>
          <w:rFonts w:ascii="Calibri" w:hAnsi="Calibri" w:cs="Calibri"/>
        </w:rPr>
        <w:t xml:space="preserve">, </w:t>
      </w:r>
      <w:r>
        <w:rPr>
          <w:rFonts w:ascii="Calibri" w:hAnsi="Calibri" w:cs="Calibri"/>
        </w:rPr>
        <w:t>however, we suggest that there could be a more pragmatic definition of innovation that would be more appropriate when it comes to AI, incorporating the evolution or growth of capabilities within existing models. This definition should include – ‘</w:t>
      </w:r>
      <w:r w:rsidRPr="00B30147">
        <w:rPr>
          <w:rFonts w:ascii="Calibri" w:hAnsi="Calibri" w:cs="Calibri"/>
        </w:rPr>
        <w:t>New capability, assurance approach or application</w:t>
      </w:r>
      <w:r>
        <w:rPr>
          <w:rFonts w:ascii="Calibri" w:hAnsi="Calibri" w:cs="Calibri"/>
        </w:rPr>
        <w:t>’</w:t>
      </w:r>
      <w:r w:rsidRPr="00B30147">
        <w:rPr>
          <w:rFonts w:ascii="Calibri" w:hAnsi="Calibri" w:cs="Calibri"/>
        </w:rPr>
        <w:t>.</w:t>
      </w:r>
      <w:r>
        <w:rPr>
          <w:rFonts w:ascii="Calibri" w:hAnsi="Calibri" w:cs="Calibri"/>
        </w:rPr>
        <w:t xml:space="preserve"> This will not preclude solutions around, for example, c</w:t>
      </w:r>
      <w:r w:rsidRPr="00B30147">
        <w:rPr>
          <w:rFonts w:ascii="Calibri" w:hAnsi="Calibri" w:cs="Calibri"/>
        </w:rPr>
        <w:t>ombining existing models with new governance or assurance methods,</w:t>
      </w:r>
      <w:r>
        <w:rPr>
          <w:rFonts w:ascii="Calibri" w:hAnsi="Calibri" w:cs="Calibri"/>
        </w:rPr>
        <w:t xml:space="preserve"> or a</w:t>
      </w:r>
      <w:r w:rsidRPr="00B30147">
        <w:rPr>
          <w:rFonts w:ascii="Calibri" w:hAnsi="Calibri" w:cs="Calibri"/>
        </w:rPr>
        <w:t xml:space="preserve">pplying mature AI techniques to </w:t>
      </w:r>
      <w:r w:rsidRPr="0073567D">
        <w:rPr>
          <w:rFonts w:ascii="Calibri" w:hAnsi="Calibri" w:cs="Calibri"/>
        </w:rPr>
        <w:t>new regulatory or safety critical decisions.</w:t>
      </w:r>
    </w:p>
    <w:p w14:paraId="7FB8EB6F" w14:textId="11256EDB" w:rsidR="00B30147" w:rsidRPr="0073567D" w:rsidRDefault="00B30147" w:rsidP="00B30147">
      <w:pPr>
        <w:rPr>
          <w:rFonts w:ascii="Calibri" w:hAnsi="Calibri" w:cs="Calibri"/>
        </w:rPr>
      </w:pPr>
      <w:r w:rsidRPr="0073567D">
        <w:rPr>
          <w:rFonts w:ascii="Calibri" w:hAnsi="Calibri" w:cs="Calibri"/>
        </w:rPr>
        <w:t>In terms of Sector Impact we view the criterion as well-designed and effective, prioritising c</w:t>
      </w:r>
      <w:r w:rsidRPr="008D68A3">
        <w:rPr>
          <w:rFonts w:ascii="Calibri" w:hAnsi="Calibri" w:cs="Calibri"/>
        </w:rPr>
        <w:t>onsumer outcomes,</w:t>
      </w:r>
      <w:r w:rsidRPr="0073567D">
        <w:rPr>
          <w:rFonts w:ascii="Calibri" w:hAnsi="Calibri" w:cs="Calibri"/>
        </w:rPr>
        <w:t xml:space="preserve"> network reliability</w:t>
      </w:r>
      <w:r w:rsidRPr="008D68A3">
        <w:rPr>
          <w:rFonts w:ascii="Calibri" w:hAnsi="Calibri" w:cs="Calibri"/>
        </w:rPr>
        <w:t xml:space="preserve"> and resilience,</w:t>
      </w:r>
      <w:r w:rsidRPr="0073567D">
        <w:rPr>
          <w:rFonts w:ascii="Calibri" w:hAnsi="Calibri" w:cs="Calibri"/>
        </w:rPr>
        <w:t xml:space="preserve"> and </w:t>
      </w:r>
      <w:r w:rsidR="003C4B1F" w:rsidRPr="0073567D">
        <w:rPr>
          <w:rFonts w:ascii="Calibri" w:hAnsi="Calibri" w:cs="Calibri"/>
        </w:rPr>
        <w:t>n</w:t>
      </w:r>
      <w:r w:rsidRPr="008D68A3">
        <w:rPr>
          <w:rFonts w:ascii="Calibri" w:hAnsi="Calibri" w:cs="Calibri"/>
        </w:rPr>
        <w:t>et zero objectives</w:t>
      </w:r>
      <w:r w:rsidR="003C4B1F" w:rsidRPr="0073567D">
        <w:rPr>
          <w:rFonts w:ascii="Calibri" w:hAnsi="Calibri" w:cs="Calibri"/>
        </w:rPr>
        <w:t>, with a focus on material risks and benefits.</w:t>
      </w:r>
    </w:p>
    <w:p w14:paraId="6A69F1D9" w14:textId="351EA166" w:rsidR="003C4B1F" w:rsidRPr="0073567D" w:rsidRDefault="003C4B1F" w:rsidP="00B30147">
      <w:pPr>
        <w:rPr>
          <w:rFonts w:ascii="Calibri" w:hAnsi="Calibri" w:cs="Calibri"/>
        </w:rPr>
      </w:pPr>
      <w:r w:rsidRPr="0073567D">
        <w:rPr>
          <w:rFonts w:ascii="Calibri" w:hAnsi="Calibri" w:cs="Calibri"/>
        </w:rPr>
        <w:t>We strongly agree with the criterion around Regulatory Uncertainty, as this will allow the generation of evidence to inform guidance or licence evolution. This recognition of uncertainty will also help networks to test against internal policies that have been written pre-AI.</w:t>
      </w:r>
    </w:p>
    <w:p w14:paraId="0EF30D2F" w14:textId="7D1B0715" w:rsidR="003C4B1F" w:rsidRPr="0073567D" w:rsidRDefault="00E17DC8" w:rsidP="00B30147">
      <w:pPr>
        <w:rPr>
          <w:rFonts w:ascii="Calibri" w:hAnsi="Calibri" w:cs="Calibri"/>
        </w:rPr>
      </w:pPr>
      <w:r w:rsidRPr="0073567D">
        <w:rPr>
          <w:rFonts w:ascii="Calibri" w:hAnsi="Calibri" w:cs="Calibri"/>
        </w:rPr>
        <w:t>We believe that Testability is an essential criterion, however, we suggest that the success metrics be explicitly defined and include risk reduction, as well as performance uplift</w:t>
      </w:r>
      <w:r w:rsidR="00F639FF" w:rsidRPr="0073567D">
        <w:rPr>
          <w:rFonts w:ascii="Calibri" w:hAnsi="Calibri" w:cs="Calibri"/>
        </w:rPr>
        <w:t>, data or safety optimisation and/or consumer benefit.</w:t>
      </w:r>
    </w:p>
    <w:p w14:paraId="1B0E2141" w14:textId="01008743" w:rsidR="00F639FF" w:rsidRPr="008D68A3" w:rsidRDefault="00F639FF" w:rsidP="00F639FF">
      <w:pPr>
        <w:rPr>
          <w:rFonts w:ascii="Calibri" w:hAnsi="Calibri" w:cs="Calibri"/>
        </w:rPr>
      </w:pPr>
      <w:r w:rsidRPr="0073567D">
        <w:rPr>
          <w:rFonts w:ascii="Calibri" w:hAnsi="Calibri" w:cs="Calibri"/>
        </w:rPr>
        <w:t>We view the proposed governance, with oversight by a multi stakeholder Steering Group, combined with ethics and safety reviews, provides the necessary transparency and accountability, and mirrors already established safety and assurance models, supporting decision-making.</w:t>
      </w:r>
    </w:p>
    <w:p w14:paraId="00AD3C3F" w14:textId="6BA16719" w:rsidR="00B30147" w:rsidRPr="0073567D" w:rsidRDefault="00F639FF" w:rsidP="00F639FF">
      <w:pPr>
        <w:rPr>
          <w:rFonts w:ascii="Calibri" w:hAnsi="Calibri" w:cs="Calibri"/>
        </w:rPr>
      </w:pPr>
      <w:r w:rsidRPr="0073567D">
        <w:rPr>
          <w:rFonts w:ascii="Calibri" w:hAnsi="Calibri" w:cs="Calibri"/>
        </w:rPr>
        <w:t>We suggest that use cases should be encouraged that align with emerging data standards (especially around interoperability), common metrics and reusable assurance artefacts, as this supports sector-wide learning and avoids fragmentation.</w:t>
      </w:r>
      <w:r w:rsidR="00D65214" w:rsidRPr="0073567D">
        <w:rPr>
          <w:rFonts w:ascii="Calibri" w:hAnsi="Calibri" w:cs="Calibri"/>
        </w:rPr>
        <w:t xml:space="preserve"> </w:t>
      </w:r>
      <w:r w:rsidR="001A6BB6" w:rsidRPr="0073567D">
        <w:rPr>
          <w:rFonts w:ascii="Calibri" w:hAnsi="Calibri" w:cs="Calibri"/>
        </w:rPr>
        <w:t>We would also suggest that each use-case should undergo a formal Artificial Intelligence Impact Assessment prior to submission.</w:t>
      </w:r>
    </w:p>
    <w:p w14:paraId="6D8EA3D2" w14:textId="77777777" w:rsidR="001A6BB6" w:rsidRDefault="001A6BB6" w:rsidP="00F639FF">
      <w:pPr>
        <w:rPr>
          <w:rFonts w:ascii="Calibri" w:hAnsi="Calibri" w:cs="Calibri"/>
        </w:rPr>
      </w:pPr>
    </w:p>
    <w:p w14:paraId="6AC5142A" w14:textId="77777777" w:rsidR="007A750C" w:rsidRDefault="007A750C" w:rsidP="00F639FF">
      <w:pPr>
        <w:rPr>
          <w:rFonts w:ascii="Calibri" w:hAnsi="Calibri" w:cs="Calibri"/>
        </w:rPr>
      </w:pPr>
    </w:p>
    <w:p w14:paraId="0C033361" w14:textId="77777777" w:rsidR="007A750C" w:rsidRDefault="007A750C" w:rsidP="00F639FF">
      <w:pPr>
        <w:rPr>
          <w:rFonts w:ascii="Calibri" w:hAnsi="Calibri" w:cs="Calibri"/>
        </w:rPr>
      </w:pPr>
    </w:p>
    <w:p w14:paraId="55394B02" w14:textId="77777777" w:rsidR="007A750C" w:rsidRDefault="007A750C" w:rsidP="00F639FF">
      <w:pPr>
        <w:rPr>
          <w:rFonts w:ascii="Calibri" w:hAnsi="Calibri" w:cs="Calibri"/>
        </w:rPr>
      </w:pPr>
    </w:p>
    <w:p w14:paraId="00DD0F98" w14:textId="5F189751" w:rsidR="001A6BB6" w:rsidRDefault="001F5F71" w:rsidP="001F5F71">
      <w:pPr>
        <w:rPr>
          <w:rFonts w:ascii="Calibri" w:hAnsi="Calibri" w:cs="Calibri"/>
        </w:rPr>
      </w:pPr>
      <w:r w:rsidRPr="001F5F71">
        <w:rPr>
          <w:rStyle w:val="Heading3Char"/>
          <w:rFonts w:ascii="Calibri" w:hAnsi="Calibri" w:cs="Calibri"/>
          <w:b/>
          <w:bCs/>
          <w:color w:val="auto"/>
          <w:sz w:val="24"/>
          <w:szCs w:val="24"/>
        </w:rPr>
        <w:t>Q3. Alignment with other initiatives</w:t>
      </w:r>
      <w:r w:rsidRPr="001F5F71">
        <w:rPr>
          <w:rFonts w:ascii="Calibri" w:hAnsi="Calibri" w:cs="Calibri"/>
          <w:b/>
          <w:bCs/>
          <w:sz w:val="24"/>
          <w:szCs w:val="24"/>
        </w:rPr>
        <w:t xml:space="preserve"> - Is the proposed approach for the AI Technical Sandbox clearly distinct and complementary to other initiatives such as Ofgem’s AI Reg Lab, Energy Regulation Sandbox, Future Regulation Sandbox, UKRI-funded and SIF/NIA initiatives, NESO, FCA regulatory sandbox experience, and DSIT AI Growth Lab? Are there other relevant initiatives or examples of best practice that Ofgem should consider, and if so, which ones?</w:t>
      </w:r>
    </w:p>
    <w:p w14:paraId="65776DEA" w14:textId="34E71005" w:rsidR="00697BB5" w:rsidRPr="00697BB5" w:rsidRDefault="00697BB5" w:rsidP="00697BB5">
      <w:pPr>
        <w:rPr>
          <w:rFonts w:ascii="Calibri" w:hAnsi="Calibri" w:cs="Calibri"/>
        </w:rPr>
      </w:pPr>
      <w:r w:rsidRPr="00697BB5">
        <w:rPr>
          <w:rFonts w:ascii="Calibri" w:hAnsi="Calibri" w:cs="Calibri"/>
        </w:rPr>
        <w:t>From a Northern Gas Networks perspective, the proposed AI Technical Sandbox is well</w:t>
      </w:r>
      <w:r w:rsidR="00CE61BB">
        <w:rPr>
          <w:rFonts w:ascii="Calibri" w:hAnsi="Calibri" w:cs="Calibri"/>
        </w:rPr>
        <w:t>-</w:t>
      </w:r>
      <w:r w:rsidRPr="00697BB5">
        <w:rPr>
          <w:rFonts w:ascii="Calibri" w:hAnsi="Calibri" w:cs="Calibri"/>
        </w:rPr>
        <w:t>positioned and strongly complementary to existing Ofgem, cross sector and innovation initiatives.</w:t>
      </w:r>
      <w:r w:rsidR="00CE61BB">
        <w:rPr>
          <w:rFonts w:ascii="Calibri" w:hAnsi="Calibri" w:cs="Calibri"/>
        </w:rPr>
        <w:t xml:space="preserve"> </w:t>
      </w:r>
      <w:r w:rsidRPr="00697BB5">
        <w:rPr>
          <w:rFonts w:ascii="Calibri" w:hAnsi="Calibri" w:cs="Calibri"/>
        </w:rPr>
        <w:t>It fills a genuine gap</w:t>
      </w:r>
      <w:r w:rsidR="00D46480">
        <w:rPr>
          <w:rFonts w:ascii="Calibri" w:hAnsi="Calibri" w:cs="Calibri"/>
        </w:rPr>
        <w:t xml:space="preserve"> around t</w:t>
      </w:r>
      <w:r w:rsidRPr="00697BB5">
        <w:rPr>
          <w:rFonts w:ascii="Calibri" w:hAnsi="Calibri" w:cs="Calibri"/>
        </w:rPr>
        <w:t xml:space="preserve">echnical, pre deployment AI testing with </w:t>
      </w:r>
      <w:r w:rsidR="0034422A">
        <w:rPr>
          <w:rFonts w:ascii="Calibri" w:hAnsi="Calibri" w:cs="Calibri"/>
        </w:rPr>
        <w:t xml:space="preserve">appropriate </w:t>
      </w:r>
      <w:r w:rsidRPr="00697BB5">
        <w:rPr>
          <w:rFonts w:ascii="Calibri" w:hAnsi="Calibri" w:cs="Calibri"/>
        </w:rPr>
        <w:t>regulatory oversight,</w:t>
      </w:r>
      <w:r w:rsidR="0034422A">
        <w:rPr>
          <w:rFonts w:ascii="Calibri" w:hAnsi="Calibri" w:cs="Calibri"/>
        </w:rPr>
        <w:t xml:space="preserve"> whilst mitigating the risk of </w:t>
      </w:r>
      <w:r w:rsidRPr="00697BB5">
        <w:rPr>
          <w:rFonts w:ascii="Calibri" w:hAnsi="Calibri" w:cs="Calibri"/>
        </w:rPr>
        <w:t>consumer exposure or premature rule changes.</w:t>
      </w:r>
    </w:p>
    <w:p w14:paraId="565DA57C" w14:textId="2F625BE9" w:rsidR="008467D3" w:rsidRDefault="00011464" w:rsidP="00697BB5">
      <w:pPr>
        <w:rPr>
          <w:rFonts w:ascii="Calibri" w:hAnsi="Calibri" w:cs="Calibri"/>
        </w:rPr>
      </w:pPr>
      <w:r>
        <w:rPr>
          <w:rFonts w:ascii="Calibri" w:hAnsi="Calibri" w:cs="Calibri"/>
        </w:rPr>
        <w:t>I</w:t>
      </w:r>
      <w:r w:rsidR="00697BB5" w:rsidRPr="00697BB5">
        <w:rPr>
          <w:rFonts w:ascii="Calibri" w:hAnsi="Calibri" w:cs="Calibri"/>
        </w:rPr>
        <w:t xml:space="preserve">t </w:t>
      </w:r>
      <w:r>
        <w:rPr>
          <w:rFonts w:ascii="Calibri" w:hAnsi="Calibri" w:cs="Calibri"/>
        </w:rPr>
        <w:t xml:space="preserve">certainly </w:t>
      </w:r>
      <w:r w:rsidR="00697BB5" w:rsidRPr="00697BB5">
        <w:rPr>
          <w:rFonts w:ascii="Calibri" w:hAnsi="Calibri" w:cs="Calibri"/>
        </w:rPr>
        <w:t>has the potential to become a cornerstone of responsible AI adoption in energy networks</w:t>
      </w:r>
      <w:r>
        <w:rPr>
          <w:rFonts w:ascii="Calibri" w:hAnsi="Calibri" w:cs="Calibri"/>
        </w:rPr>
        <w:t xml:space="preserve">, though </w:t>
      </w:r>
      <w:r w:rsidR="00DC5010">
        <w:rPr>
          <w:rFonts w:ascii="Calibri" w:hAnsi="Calibri" w:cs="Calibri"/>
        </w:rPr>
        <w:t xml:space="preserve">we have identified </w:t>
      </w:r>
      <w:r w:rsidR="00DC5010" w:rsidRPr="00DC5010">
        <w:rPr>
          <w:rFonts w:ascii="Calibri" w:hAnsi="Calibri" w:cs="Calibri"/>
        </w:rPr>
        <w:t xml:space="preserve">a few areas where operational hand offs and interfaces </w:t>
      </w:r>
      <w:r w:rsidR="00DC5010">
        <w:rPr>
          <w:rFonts w:ascii="Calibri" w:hAnsi="Calibri" w:cs="Calibri"/>
        </w:rPr>
        <w:t>c</w:t>
      </w:r>
      <w:r w:rsidR="00DC5010" w:rsidRPr="00DC5010">
        <w:rPr>
          <w:rFonts w:ascii="Calibri" w:hAnsi="Calibri" w:cs="Calibri"/>
        </w:rPr>
        <w:t>ould be strengthened.</w:t>
      </w:r>
    </w:p>
    <w:p w14:paraId="48113641" w14:textId="60572897" w:rsidR="00B329E5" w:rsidRDefault="00B329E5" w:rsidP="00697BB5">
      <w:pPr>
        <w:rPr>
          <w:rFonts w:ascii="Calibri" w:hAnsi="Calibri" w:cs="Calibri"/>
        </w:rPr>
      </w:pPr>
      <w:r>
        <w:rPr>
          <w:rFonts w:ascii="Calibri" w:hAnsi="Calibri" w:cs="Calibri"/>
        </w:rPr>
        <w:t xml:space="preserve">Below is a table showing our analysis of the different initiatives. This analysis could be used to map </w:t>
      </w:r>
      <w:r w:rsidR="00F61272">
        <w:rPr>
          <w:rFonts w:ascii="Calibri" w:hAnsi="Calibri" w:cs="Calibri"/>
        </w:rPr>
        <w:t xml:space="preserve">an optimised route for any </w:t>
      </w:r>
      <w:r w:rsidR="00742952">
        <w:rPr>
          <w:rFonts w:ascii="Calibri" w:hAnsi="Calibri" w:cs="Calibri"/>
        </w:rPr>
        <w:t>AI innovation.</w:t>
      </w:r>
    </w:p>
    <w:tbl>
      <w:tblPr>
        <w:tblStyle w:val="TableGrid"/>
        <w:tblW w:w="0" w:type="auto"/>
        <w:tblLook w:val="04A0" w:firstRow="1" w:lastRow="0" w:firstColumn="1" w:lastColumn="0" w:noHBand="0" w:noVBand="1"/>
      </w:tblPr>
      <w:tblGrid>
        <w:gridCol w:w="1838"/>
        <w:gridCol w:w="3544"/>
        <w:gridCol w:w="3634"/>
      </w:tblGrid>
      <w:tr w:rsidR="00D161C6" w14:paraId="7E3DF00F" w14:textId="77777777" w:rsidTr="00E84203">
        <w:tc>
          <w:tcPr>
            <w:tcW w:w="1838" w:type="dxa"/>
          </w:tcPr>
          <w:p w14:paraId="146100C2" w14:textId="44B1C31B" w:rsidR="00D161C6" w:rsidRPr="00C64EAA" w:rsidRDefault="00DC1E2B" w:rsidP="00697BB5">
            <w:pPr>
              <w:rPr>
                <w:rFonts w:ascii="Calibri" w:hAnsi="Calibri" w:cs="Calibri"/>
                <w:b/>
                <w:bCs/>
              </w:rPr>
            </w:pPr>
            <w:r w:rsidRPr="00C64EAA">
              <w:rPr>
                <w:rFonts w:ascii="Calibri" w:hAnsi="Calibri" w:cs="Calibri"/>
                <w:b/>
                <w:bCs/>
              </w:rPr>
              <w:t>Initiative/Best Practice</w:t>
            </w:r>
          </w:p>
        </w:tc>
        <w:tc>
          <w:tcPr>
            <w:tcW w:w="3544" w:type="dxa"/>
          </w:tcPr>
          <w:p w14:paraId="6866C846" w14:textId="19F7CECB" w:rsidR="00D161C6" w:rsidRPr="00C64EAA" w:rsidRDefault="00D161C6" w:rsidP="00697BB5">
            <w:pPr>
              <w:rPr>
                <w:rFonts w:ascii="Calibri" w:hAnsi="Calibri" w:cs="Calibri"/>
                <w:b/>
                <w:bCs/>
              </w:rPr>
            </w:pPr>
            <w:r w:rsidRPr="00C64EAA">
              <w:rPr>
                <w:rFonts w:ascii="Calibri" w:hAnsi="Calibri" w:cs="Calibri"/>
                <w:b/>
                <w:bCs/>
              </w:rPr>
              <w:t>Wh</w:t>
            </w:r>
            <w:r w:rsidR="00975A0D" w:rsidRPr="00C64EAA">
              <w:rPr>
                <w:rFonts w:ascii="Calibri" w:hAnsi="Calibri" w:cs="Calibri"/>
                <w:b/>
                <w:bCs/>
              </w:rPr>
              <w:t>ere the AI Sandbox is distinct</w:t>
            </w:r>
          </w:p>
        </w:tc>
        <w:tc>
          <w:tcPr>
            <w:tcW w:w="3634" w:type="dxa"/>
          </w:tcPr>
          <w:p w14:paraId="4A1E0F4E" w14:textId="481A6CC9" w:rsidR="00D161C6" w:rsidRPr="00C64EAA" w:rsidRDefault="00975A0D" w:rsidP="00697BB5">
            <w:pPr>
              <w:rPr>
                <w:rFonts w:ascii="Calibri" w:hAnsi="Calibri" w:cs="Calibri"/>
                <w:b/>
                <w:bCs/>
              </w:rPr>
            </w:pPr>
            <w:r w:rsidRPr="00C64EAA">
              <w:rPr>
                <w:rFonts w:ascii="Calibri" w:hAnsi="Calibri" w:cs="Calibri"/>
                <w:b/>
                <w:bCs/>
              </w:rPr>
              <w:t>Where the AI Sandbox Complements</w:t>
            </w:r>
          </w:p>
        </w:tc>
      </w:tr>
      <w:tr w:rsidR="00D161C6" w14:paraId="7C404BC0" w14:textId="77777777" w:rsidTr="00E84203">
        <w:tc>
          <w:tcPr>
            <w:tcW w:w="1838" w:type="dxa"/>
          </w:tcPr>
          <w:p w14:paraId="292F6FA7" w14:textId="26A5E5AE" w:rsidR="00D161C6" w:rsidRDefault="0065584C" w:rsidP="00697BB5">
            <w:pPr>
              <w:rPr>
                <w:rFonts w:ascii="Calibri" w:hAnsi="Calibri" w:cs="Calibri"/>
              </w:rPr>
            </w:pPr>
            <w:r w:rsidRPr="0065584C">
              <w:rPr>
                <w:rFonts w:ascii="Calibri" w:hAnsi="Calibri" w:cs="Calibri"/>
              </w:rPr>
              <w:t>AI Regulatory Laboratory (AI Reg Lab)</w:t>
            </w:r>
          </w:p>
        </w:tc>
        <w:tc>
          <w:tcPr>
            <w:tcW w:w="3544" w:type="dxa"/>
          </w:tcPr>
          <w:p w14:paraId="1BDB2B6B" w14:textId="7684DA72" w:rsidR="00D161C6" w:rsidRDefault="00AD4A5C" w:rsidP="00697BB5">
            <w:pPr>
              <w:rPr>
                <w:rFonts w:ascii="Calibri" w:hAnsi="Calibri" w:cs="Calibri"/>
              </w:rPr>
            </w:pPr>
            <w:r w:rsidRPr="00AD4A5C">
              <w:rPr>
                <w:rFonts w:ascii="Calibri" w:hAnsi="Calibri" w:cs="Calibri"/>
              </w:rPr>
              <w:t xml:space="preserve">The AI Sandbox focuses on </w:t>
            </w:r>
            <w:r w:rsidR="003956EF">
              <w:rPr>
                <w:rFonts w:ascii="Calibri" w:hAnsi="Calibri" w:cs="Calibri"/>
              </w:rPr>
              <w:t>practical</w:t>
            </w:r>
            <w:r w:rsidRPr="00AD4A5C">
              <w:rPr>
                <w:rFonts w:ascii="Calibri" w:hAnsi="Calibri" w:cs="Calibri"/>
              </w:rPr>
              <w:t xml:space="preserve"> testing of real AI systems using representative data and scenarios.</w:t>
            </w:r>
            <w:r w:rsidR="003956EF">
              <w:rPr>
                <w:rFonts w:ascii="Calibri" w:hAnsi="Calibri" w:cs="Calibri"/>
              </w:rPr>
              <w:t xml:space="preserve"> The AI Reg Lab </w:t>
            </w:r>
            <w:r w:rsidR="00E84203" w:rsidRPr="00E84203">
              <w:rPr>
                <w:rFonts w:ascii="Calibri" w:hAnsi="Calibri" w:cs="Calibri"/>
              </w:rPr>
              <w:t>focuses on policy, ethics and regulatory interpretation (e.g. fairness, explainability, transparency).</w:t>
            </w:r>
          </w:p>
        </w:tc>
        <w:tc>
          <w:tcPr>
            <w:tcW w:w="3634" w:type="dxa"/>
          </w:tcPr>
          <w:p w14:paraId="1A6C10A3" w14:textId="34C9324E" w:rsidR="00D161C6" w:rsidRDefault="00CB3371" w:rsidP="00697BB5">
            <w:pPr>
              <w:rPr>
                <w:rFonts w:ascii="Calibri" w:hAnsi="Calibri" w:cs="Calibri"/>
              </w:rPr>
            </w:pPr>
            <w:r w:rsidRPr="00CB3371">
              <w:rPr>
                <w:rFonts w:ascii="Calibri" w:hAnsi="Calibri" w:cs="Calibri"/>
              </w:rPr>
              <w:t>Evidence from sandbox trials (</w:t>
            </w:r>
            <w:r w:rsidR="00E32926">
              <w:rPr>
                <w:rFonts w:ascii="Calibri" w:hAnsi="Calibri" w:cs="Calibri"/>
              </w:rPr>
              <w:t xml:space="preserve">success </w:t>
            </w:r>
            <w:r w:rsidRPr="00CB3371">
              <w:rPr>
                <w:rFonts w:ascii="Calibri" w:hAnsi="Calibri" w:cs="Calibri"/>
              </w:rPr>
              <w:t>metrics</w:t>
            </w:r>
            <w:r w:rsidR="00E32926">
              <w:rPr>
                <w:rFonts w:ascii="Calibri" w:hAnsi="Calibri" w:cs="Calibri"/>
              </w:rPr>
              <w:t xml:space="preserve"> and risk identification</w:t>
            </w:r>
            <w:r w:rsidRPr="00CB3371">
              <w:rPr>
                <w:rFonts w:ascii="Calibri" w:hAnsi="Calibri" w:cs="Calibri"/>
              </w:rPr>
              <w:t>) can directly inform AI Reg Lab guidance.</w:t>
            </w:r>
          </w:p>
          <w:p w14:paraId="2A6ECF84" w14:textId="11DBCB01" w:rsidR="009D1782" w:rsidRDefault="009D1782" w:rsidP="00697BB5">
            <w:pPr>
              <w:rPr>
                <w:rFonts w:ascii="Calibri" w:hAnsi="Calibri" w:cs="Calibri"/>
              </w:rPr>
            </w:pPr>
            <w:r>
              <w:rPr>
                <w:rFonts w:ascii="Calibri" w:hAnsi="Calibri" w:cs="Calibri"/>
              </w:rPr>
              <w:t xml:space="preserve">The </w:t>
            </w:r>
            <w:r w:rsidRPr="009D1782">
              <w:rPr>
                <w:rFonts w:ascii="Calibri" w:hAnsi="Calibri" w:cs="Calibri"/>
              </w:rPr>
              <w:t xml:space="preserve">sandbox provides the empirical grounding that the </w:t>
            </w:r>
            <w:r w:rsidR="00C64EAA">
              <w:rPr>
                <w:rFonts w:ascii="Calibri" w:hAnsi="Calibri" w:cs="Calibri"/>
              </w:rPr>
              <w:t xml:space="preserve">AI </w:t>
            </w:r>
            <w:r w:rsidRPr="009D1782">
              <w:rPr>
                <w:rFonts w:ascii="Calibri" w:hAnsi="Calibri" w:cs="Calibri"/>
              </w:rPr>
              <w:t>Reg Lab requires to avoid abstract or overly cautious positions.</w:t>
            </w:r>
          </w:p>
          <w:p w14:paraId="1A47F632" w14:textId="65B99C71" w:rsidR="00C64EAA" w:rsidRDefault="00155E87" w:rsidP="00697BB5">
            <w:pPr>
              <w:rPr>
                <w:rFonts w:ascii="Calibri" w:hAnsi="Calibri" w:cs="Calibri"/>
              </w:rPr>
            </w:pPr>
            <w:r>
              <w:rPr>
                <w:rFonts w:ascii="Calibri" w:hAnsi="Calibri" w:cs="Calibri"/>
              </w:rPr>
              <w:t xml:space="preserve">Learnings/resolved regulatory uncertainty </w:t>
            </w:r>
            <w:r w:rsidR="003E1BF1">
              <w:rPr>
                <w:rFonts w:ascii="Calibri" w:hAnsi="Calibri" w:cs="Calibri"/>
              </w:rPr>
              <w:t xml:space="preserve">coming out of the AI Reg Lab will inform and direct </w:t>
            </w:r>
            <w:r w:rsidR="007F4137">
              <w:rPr>
                <w:rFonts w:ascii="Calibri" w:hAnsi="Calibri" w:cs="Calibri"/>
              </w:rPr>
              <w:t>use cases going into the sandbox, and the testing needed.</w:t>
            </w:r>
          </w:p>
          <w:p w14:paraId="421D61DE" w14:textId="239023CB" w:rsidR="00C64EAA" w:rsidRDefault="00C64EAA" w:rsidP="00697BB5">
            <w:pPr>
              <w:rPr>
                <w:rFonts w:ascii="Calibri" w:hAnsi="Calibri" w:cs="Calibri"/>
              </w:rPr>
            </w:pPr>
          </w:p>
        </w:tc>
      </w:tr>
      <w:tr w:rsidR="007F4137" w14:paraId="07CBA419" w14:textId="77777777" w:rsidTr="00E84203">
        <w:tc>
          <w:tcPr>
            <w:tcW w:w="1838" w:type="dxa"/>
          </w:tcPr>
          <w:p w14:paraId="439D3524" w14:textId="392A8670" w:rsidR="007F4137" w:rsidRPr="0065584C" w:rsidRDefault="008E04BD" w:rsidP="00697BB5">
            <w:pPr>
              <w:rPr>
                <w:rFonts w:ascii="Calibri" w:hAnsi="Calibri" w:cs="Calibri"/>
              </w:rPr>
            </w:pPr>
            <w:r w:rsidRPr="008E04BD">
              <w:rPr>
                <w:rFonts w:ascii="Calibri" w:hAnsi="Calibri" w:cs="Calibri"/>
              </w:rPr>
              <w:t>Energy Regulation Sandbox</w:t>
            </w:r>
          </w:p>
        </w:tc>
        <w:tc>
          <w:tcPr>
            <w:tcW w:w="3544" w:type="dxa"/>
          </w:tcPr>
          <w:p w14:paraId="010C864A" w14:textId="56F6093D" w:rsidR="007F4137" w:rsidRPr="00AD4A5C" w:rsidRDefault="00DF2A10" w:rsidP="00697BB5">
            <w:pPr>
              <w:rPr>
                <w:rFonts w:ascii="Calibri" w:hAnsi="Calibri" w:cs="Calibri"/>
              </w:rPr>
            </w:pPr>
            <w:r>
              <w:rPr>
                <w:rFonts w:ascii="Calibri" w:hAnsi="Calibri" w:cs="Calibri"/>
              </w:rPr>
              <w:t xml:space="preserve">The </w:t>
            </w:r>
            <w:r w:rsidRPr="00DF2A10">
              <w:rPr>
                <w:rFonts w:ascii="Calibri" w:hAnsi="Calibri" w:cs="Calibri"/>
              </w:rPr>
              <w:t xml:space="preserve">AI Technical Sandbox is </w:t>
            </w:r>
            <w:r w:rsidR="005243F0">
              <w:rPr>
                <w:rFonts w:ascii="Calibri" w:hAnsi="Calibri" w:cs="Calibri"/>
              </w:rPr>
              <w:t xml:space="preserve">for </w:t>
            </w:r>
            <w:r w:rsidRPr="00DF2A10">
              <w:rPr>
                <w:rFonts w:ascii="Calibri" w:hAnsi="Calibri" w:cs="Calibri"/>
              </w:rPr>
              <w:t>pre</w:t>
            </w:r>
            <w:r w:rsidR="005243F0">
              <w:rPr>
                <w:rFonts w:ascii="Calibri" w:hAnsi="Calibri" w:cs="Calibri"/>
              </w:rPr>
              <w:t>-</w:t>
            </w:r>
            <w:r w:rsidRPr="00DF2A10">
              <w:rPr>
                <w:rFonts w:ascii="Calibri" w:hAnsi="Calibri" w:cs="Calibri"/>
              </w:rPr>
              <w:t>deployment and does not involve live market or consumer exposure.</w:t>
            </w:r>
          </w:p>
        </w:tc>
        <w:tc>
          <w:tcPr>
            <w:tcW w:w="3634" w:type="dxa"/>
          </w:tcPr>
          <w:p w14:paraId="30F8B9E2" w14:textId="4F9F5C67" w:rsidR="00E910C1" w:rsidRPr="00E910C1" w:rsidRDefault="00E910C1" w:rsidP="00E910C1">
            <w:pPr>
              <w:rPr>
                <w:rFonts w:ascii="Calibri" w:hAnsi="Calibri" w:cs="Calibri"/>
              </w:rPr>
            </w:pPr>
            <w:r w:rsidRPr="00E910C1">
              <w:rPr>
                <w:rFonts w:ascii="Calibri" w:hAnsi="Calibri" w:cs="Calibri"/>
              </w:rPr>
              <w:t xml:space="preserve">The </w:t>
            </w:r>
            <w:r w:rsidR="00DB69AA">
              <w:rPr>
                <w:rFonts w:ascii="Calibri" w:hAnsi="Calibri" w:cs="Calibri"/>
              </w:rPr>
              <w:t xml:space="preserve">AI </w:t>
            </w:r>
            <w:r w:rsidRPr="00E910C1">
              <w:rPr>
                <w:rFonts w:ascii="Calibri" w:hAnsi="Calibri" w:cs="Calibri"/>
              </w:rPr>
              <w:t>Sandbox acts as a</w:t>
            </w:r>
            <w:r w:rsidR="0085703C">
              <w:rPr>
                <w:rFonts w:ascii="Calibri" w:hAnsi="Calibri" w:cs="Calibri"/>
              </w:rPr>
              <w:t xml:space="preserve"> way to </w:t>
            </w:r>
            <w:r w:rsidRPr="00E910C1">
              <w:rPr>
                <w:rFonts w:ascii="Calibri" w:hAnsi="Calibri" w:cs="Calibri"/>
              </w:rPr>
              <w:t>de</w:t>
            </w:r>
            <w:r w:rsidR="0085703C">
              <w:rPr>
                <w:rFonts w:ascii="Calibri" w:hAnsi="Calibri" w:cs="Calibri"/>
              </w:rPr>
              <w:t>-</w:t>
            </w:r>
            <w:r w:rsidRPr="00E910C1">
              <w:rPr>
                <w:rFonts w:ascii="Calibri" w:hAnsi="Calibri" w:cs="Calibri"/>
              </w:rPr>
              <w:t>risk</w:t>
            </w:r>
            <w:r w:rsidR="0085703C">
              <w:rPr>
                <w:rFonts w:ascii="Calibri" w:hAnsi="Calibri" w:cs="Calibri"/>
              </w:rPr>
              <w:t xml:space="preserve"> new solutions </w:t>
            </w:r>
            <w:r w:rsidRPr="00E910C1">
              <w:rPr>
                <w:rFonts w:ascii="Calibri" w:hAnsi="Calibri" w:cs="Calibri"/>
              </w:rPr>
              <w:t>before any live trial.</w:t>
            </w:r>
          </w:p>
          <w:p w14:paraId="5888810D" w14:textId="7B11FF4B" w:rsidR="007F4137" w:rsidRPr="00CB3371" w:rsidRDefault="0085703C" w:rsidP="00E910C1">
            <w:pPr>
              <w:rPr>
                <w:rFonts w:ascii="Calibri" w:hAnsi="Calibri" w:cs="Calibri"/>
              </w:rPr>
            </w:pPr>
            <w:r>
              <w:rPr>
                <w:rFonts w:ascii="Calibri" w:hAnsi="Calibri" w:cs="Calibri"/>
              </w:rPr>
              <w:t xml:space="preserve">The </w:t>
            </w:r>
            <w:r w:rsidR="00DB69AA">
              <w:rPr>
                <w:rFonts w:ascii="Calibri" w:hAnsi="Calibri" w:cs="Calibri"/>
              </w:rPr>
              <w:t xml:space="preserve">AI </w:t>
            </w:r>
            <w:r>
              <w:rPr>
                <w:rFonts w:ascii="Calibri" w:hAnsi="Calibri" w:cs="Calibri"/>
              </w:rPr>
              <w:t>S</w:t>
            </w:r>
            <w:r w:rsidR="00C33572">
              <w:rPr>
                <w:rFonts w:ascii="Calibri" w:hAnsi="Calibri" w:cs="Calibri"/>
              </w:rPr>
              <w:t>an</w:t>
            </w:r>
            <w:r>
              <w:rPr>
                <w:rFonts w:ascii="Calibri" w:hAnsi="Calibri" w:cs="Calibri"/>
              </w:rPr>
              <w:t xml:space="preserve">dbox will </w:t>
            </w:r>
            <w:r w:rsidR="00C33572">
              <w:rPr>
                <w:rFonts w:ascii="Calibri" w:hAnsi="Calibri" w:cs="Calibri"/>
              </w:rPr>
              <w:t>output</w:t>
            </w:r>
            <w:r w:rsidR="00E910C1" w:rsidRPr="00E910C1">
              <w:rPr>
                <w:rFonts w:ascii="Calibri" w:hAnsi="Calibri" w:cs="Calibri"/>
              </w:rPr>
              <w:t xml:space="preserve"> AI use cases that demonstrate safety, reliability and governance maturity</w:t>
            </w:r>
            <w:r w:rsidR="00C33572">
              <w:rPr>
                <w:rFonts w:ascii="Calibri" w:hAnsi="Calibri" w:cs="Calibri"/>
              </w:rPr>
              <w:t>, for</w:t>
            </w:r>
            <w:r w:rsidR="00E910C1" w:rsidRPr="00E910C1">
              <w:rPr>
                <w:rFonts w:ascii="Calibri" w:hAnsi="Calibri" w:cs="Calibri"/>
              </w:rPr>
              <w:t xml:space="preserve"> progress</w:t>
            </w:r>
            <w:r w:rsidR="00C33572">
              <w:rPr>
                <w:rFonts w:ascii="Calibri" w:hAnsi="Calibri" w:cs="Calibri"/>
              </w:rPr>
              <w:t>ion</w:t>
            </w:r>
            <w:r w:rsidR="00E910C1" w:rsidRPr="00E910C1">
              <w:rPr>
                <w:rFonts w:ascii="Calibri" w:hAnsi="Calibri" w:cs="Calibri"/>
              </w:rPr>
              <w:t xml:space="preserve"> to the Energy Regulation Sandbox.</w:t>
            </w:r>
          </w:p>
        </w:tc>
      </w:tr>
      <w:tr w:rsidR="00654652" w14:paraId="387FF340" w14:textId="77777777" w:rsidTr="00E84203">
        <w:tc>
          <w:tcPr>
            <w:tcW w:w="1838" w:type="dxa"/>
          </w:tcPr>
          <w:p w14:paraId="068B38F8" w14:textId="3904E0CF" w:rsidR="00654652" w:rsidRPr="008E04BD" w:rsidRDefault="0068092D" w:rsidP="00697BB5">
            <w:pPr>
              <w:rPr>
                <w:rFonts w:ascii="Calibri" w:hAnsi="Calibri" w:cs="Calibri"/>
              </w:rPr>
            </w:pPr>
            <w:r w:rsidRPr="0068092D">
              <w:rPr>
                <w:rFonts w:ascii="Calibri" w:hAnsi="Calibri" w:cs="Calibri"/>
              </w:rPr>
              <w:t>Future Regulation Sandbox</w:t>
            </w:r>
          </w:p>
        </w:tc>
        <w:tc>
          <w:tcPr>
            <w:tcW w:w="3544" w:type="dxa"/>
          </w:tcPr>
          <w:p w14:paraId="261546E1" w14:textId="0655961E" w:rsidR="00654652" w:rsidRDefault="00AF62B5" w:rsidP="00697BB5">
            <w:pPr>
              <w:rPr>
                <w:rFonts w:ascii="Calibri" w:hAnsi="Calibri" w:cs="Calibri"/>
              </w:rPr>
            </w:pPr>
            <w:r>
              <w:rPr>
                <w:rFonts w:ascii="Calibri" w:hAnsi="Calibri" w:cs="Calibri"/>
              </w:rPr>
              <w:t xml:space="preserve">The </w:t>
            </w:r>
            <w:r w:rsidRPr="00AF62B5">
              <w:rPr>
                <w:rFonts w:ascii="Calibri" w:hAnsi="Calibri" w:cs="Calibri"/>
              </w:rPr>
              <w:t>AI Sandbox tests technology and assurance, not regulatory change itself.</w:t>
            </w:r>
          </w:p>
        </w:tc>
        <w:tc>
          <w:tcPr>
            <w:tcW w:w="3634" w:type="dxa"/>
          </w:tcPr>
          <w:p w14:paraId="194CF5D7" w14:textId="00CACE41" w:rsidR="00FB288B" w:rsidRPr="00E910C1" w:rsidRDefault="00446721" w:rsidP="00E910C1">
            <w:pPr>
              <w:rPr>
                <w:rFonts w:ascii="Calibri" w:hAnsi="Calibri" w:cs="Calibri"/>
              </w:rPr>
            </w:pPr>
            <w:r w:rsidRPr="00446721">
              <w:rPr>
                <w:rFonts w:ascii="Calibri" w:hAnsi="Calibri" w:cs="Calibri"/>
              </w:rPr>
              <w:t>Evidence that current rules impede safe AI deployment can be routed into the Future Regulation Sandbox.</w:t>
            </w:r>
          </w:p>
        </w:tc>
      </w:tr>
      <w:tr w:rsidR="00E53F79" w14:paraId="76C152E1" w14:textId="77777777" w:rsidTr="00E84203">
        <w:tc>
          <w:tcPr>
            <w:tcW w:w="1838" w:type="dxa"/>
          </w:tcPr>
          <w:p w14:paraId="67612602" w14:textId="3B621D04" w:rsidR="00E53F79" w:rsidRPr="0068092D" w:rsidRDefault="00E62053" w:rsidP="00697BB5">
            <w:pPr>
              <w:rPr>
                <w:rFonts w:ascii="Calibri" w:hAnsi="Calibri" w:cs="Calibri"/>
              </w:rPr>
            </w:pPr>
            <w:r w:rsidRPr="00E62053">
              <w:rPr>
                <w:rFonts w:ascii="Calibri" w:hAnsi="Calibri" w:cs="Calibri"/>
              </w:rPr>
              <w:t>UKRI, SIF and NIA innovation funding</w:t>
            </w:r>
          </w:p>
        </w:tc>
        <w:tc>
          <w:tcPr>
            <w:tcW w:w="3544" w:type="dxa"/>
          </w:tcPr>
          <w:p w14:paraId="14FC001C" w14:textId="3740CBF5" w:rsidR="00E53F79" w:rsidRDefault="005462AE" w:rsidP="00697BB5">
            <w:pPr>
              <w:rPr>
                <w:rFonts w:ascii="Calibri" w:hAnsi="Calibri" w:cs="Calibri"/>
              </w:rPr>
            </w:pPr>
            <w:r>
              <w:rPr>
                <w:rFonts w:ascii="Calibri" w:hAnsi="Calibri" w:cs="Calibri"/>
              </w:rPr>
              <w:t xml:space="preserve">The Sandbox provides a potential test environment for </w:t>
            </w:r>
            <w:r w:rsidR="00622D3F">
              <w:rPr>
                <w:rFonts w:ascii="Calibri" w:hAnsi="Calibri" w:cs="Calibri"/>
              </w:rPr>
              <w:t>innovation solutions funded through UKRA/NIA/SIF</w:t>
            </w:r>
          </w:p>
        </w:tc>
        <w:tc>
          <w:tcPr>
            <w:tcW w:w="3634" w:type="dxa"/>
          </w:tcPr>
          <w:p w14:paraId="229CDC6F" w14:textId="79F0C8B0" w:rsidR="00E53F79" w:rsidRPr="00446721" w:rsidRDefault="006D0A44" w:rsidP="006D0A44">
            <w:pPr>
              <w:rPr>
                <w:rFonts w:ascii="Calibri" w:hAnsi="Calibri" w:cs="Calibri"/>
              </w:rPr>
            </w:pPr>
            <w:r w:rsidRPr="006D0A44">
              <w:rPr>
                <w:rFonts w:ascii="Calibri" w:hAnsi="Calibri" w:cs="Calibri"/>
              </w:rPr>
              <w:t>Sandbox outcomes can</w:t>
            </w:r>
            <w:r>
              <w:rPr>
                <w:rFonts w:ascii="Calibri" w:hAnsi="Calibri" w:cs="Calibri"/>
              </w:rPr>
              <w:t xml:space="preserve"> identify/mitigate</w:t>
            </w:r>
            <w:r w:rsidRPr="006D0A44">
              <w:rPr>
                <w:rFonts w:ascii="Calibri" w:hAnsi="Calibri" w:cs="Calibri"/>
              </w:rPr>
              <w:t xml:space="preserve"> risk</w:t>
            </w:r>
            <w:r>
              <w:rPr>
                <w:rFonts w:ascii="Calibri" w:hAnsi="Calibri" w:cs="Calibri"/>
              </w:rPr>
              <w:t>s for</w:t>
            </w:r>
            <w:r w:rsidRPr="006D0A44">
              <w:rPr>
                <w:rFonts w:ascii="Calibri" w:hAnsi="Calibri" w:cs="Calibri"/>
              </w:rPr>
              <w:t xml:space="preserve"> future SIF/NIA projects,</w:t>
            </w:r>
            <w:r>
              <w:rPr>
                <w:rFonts w:ascii="Calibri" w:hAnsi="Calibri" w:cs="Calibri"/>
              </w:rPr>
              <w:t xml:space="preserve"> s</w:t>
            </w:r>
            <w:r w:rsidRPr="006D0A44">
              <w:rPr>
                <w:rFonts w:ascii="Calibri" w:hAnsi="Calibri" w:cs="Calibri"/>
              </w:rPr>
              <w:t>tandardise datasets, metrics and assurance approaches</w:t>
            </w:r>
            <w:r>
              <w:rPr>
                <w:rFonts w:ascii="Calibri" w:hAnsi="Calibri" w:cs="Calibri"/>
              </w:rPr>
              <w:t>, and a</w:t>
            </w:r>
            <w:r w:rsidRPr="006D0A44">
              <w:rPr>
                <w:rFonts w:ascii="Calibri" w:hAnsi="Calibri" w:cs="Calibri"/>
              </w:rPr>
              <w:t>ccelerate scale up of proven AI capabilities.</w:t>
            </w:r>
          </w:p>
        </w:tc>
      </w:tr>
      <w:tr w:rsidR="00140C31" w14:paraId="1A37F398" w14:textId="77777777" w:rsidTr="00E84203">
        <w:tc>
          <w:tcPr>
            <w:tcW w:w="1838" w:type="dxa"/>
          </w:tcPr>
          <w:p w14:paraId="391FA2C2" w14:textId="17FBDFA2" w:rsidR="00140C31" w:rsidRPr="00E62053" w:rsidRDefault="00553266" w:rsidP="00697BB5">
            <w:pPr>
              <w:rPr>
                <w:rFonts w:ascii="Calibri" w:hAnsi="Calibri" w:cs="Calibri"/>
              </w:rPr>
            </w:pPr>
            <w:r>
              <w:rPr>
                <w:rFonts w:ascii="Calibri" w:hAnsi="Calibri" w:cs="Calibri"/>
              </w:rPr>
              <w:t>NESO</w:t>
            </w:r>
          </w:p>
        </w:tc>
        <w:tc>
          <w:tcPr>
            <w:tcW w:w="3544" w:type="dxa"/>
          </w:tcPr>
          <w:p w14:paraId="0DB3B888" w14:textId="3AADBCB6" w:rsidR="00140C31" w:rsidRDefault="00553266" w:rsidP="00697BB5">
            <w:pPr>
              <w:rPr>
                <w:rFonts w:ascii="Calibri" w:hAnsi="Calibri" w:cs="Calibri"/>
              </w:rPr>
            </w:pPr>
            <w:r>
              <w:rPr>
                <w:rFonts w:ascii="Calibri" w:hAnsi="Calibri" w:cs="Calibri"/>
              </w:rPr>
              <w:t>The Sandbox provides a potential test environment for AI-based NESO initiatives</w:t>
            </w:r>
          </w:p>
        </w:tc>
        <w:tc>
          <w:tcPr>
            <w:tcW w:w="3634" w:type="dxa"/>
          </w:tcPr>
          <w:p w14:paraId="42BAFAE5" w14:textId="1F387F78" w:rsidR="00140C31" w:rsidRPr="006D0A44" w:rsidRDefault="003111CD" w:rsidP="003111CD">
            <w:pPr>
              <w:rPr>
                <w:rFonts w:ascii="Calibri" w:hAnsi="Calibri" w:cs="Calibri"/>
              </w:rPr>
            </w:pPr>
            <w:r>
              <w:rPr>
                <w:rFonts w:ascii="Calibri" w:hAnsi="Calibri" w:cs="Calibri"/>
              </w:rPr>
              <w:t xml:space="preserve">The </w:t>
            </w:r>
            <w:r w:rsidRPr="003111CD">
              <w:rPr>
                <w:rFonts w:ascii="Calibri" w:hAnsi="Calibri" w:cs="Calibri"/>
              </w:rPr>
              <w:t>Sandbox learnings can inform NESO standards, datasets and coordination practices.</w:t>
            </w:r>
            <w:r>
              <w:rPr>
                <w:rFonts w:ascii="Calibri" w:hAnsi="Calibri" w:cs="Calibri"/>
              </w:rPr>
              <w:t xml:space="preserve"> This will be p</w:t>
            </w:r>
            <w:r w:rsidRPr="003111CD">
              <w:rPr>
                <w:rFonts w:ascii="Calibri" w:hAnsi="Calibri" w:cs="Calibri"/>
              </w:rPr>
              <w:t>articularly valuable where AI decisions cut across networks and system operation.</w:t>
            </w:r>
          </w:p>
        </w:tc>
      </w:tr>
      <w:tr w:rsidR="00337A5A" w14:paraId="7A515DC0" w14:textId="77777777" w:rsidTr="00E84203">
        <w:tc>
          <w:tcPr>
            <w:tcW w:w="1838" w:type="dxa"/>
          </w:tcPr>
          <w:p w14:paraId="086C485D" w14:textId="76ECB8E0" w:rsidR="00337A5A" w:rsidRDefault="00693153" w:rsidP="00697BB5">
            <w:pPr>
              <w:rPr>
                <w:rFonts w:ascii="Calibri" w:hAnsi="Calibri" w:cs="Calibri"/>
              </w:rPr>
            </w:pPr>
            <w:r w:rsidRPr="00693153">
              <w:rPr>
                <w:rFonts w:ascii="Calibri" w:hAnsi="Calibri" w:cs="Calibri"/>
              </w:rPr>
              <w:t>DSIT AI Growth Lab</w:t>
            </w:r>
          </w:p>
        </w:tc>
        <w:tc>
          <w:tcPr>
            <w:tcW w:w="3544" w:type="dxa"/>
          </w:tcPr>
          <w:p w14:paraId="3D20DB85" w14:textId="51EC7F2B" w:rsidR="00337A5A" w:rsidRDefault="00E86A6B" w:rsidP="00697BB5">
            <w:pPr>
              <w:rPr>
                <w:rFonts w:ascii="Calibri" w:hAnsi="Calibri" w:cs="Calibri"/>
              </w:rPr>
            </w:pPr>
            <w:r w:rsidRPr="00E86A6B">
              <w:rPr>
                <w:rFonts w:ascii="Calibri" w:hAnsi="Calibri" w:cs="Calibri"/>
              </w:rPr>
              <w:t>AI Technical Sandbox is energy specific, operationally grounded and regulator led</w:t>
            </w:r>
            <w:r>
              <w:rPr>
                <w:rFonts w:ascii="Calibri" w:hAnsi="Calibri" w:cs="Calibri"/>
              </w:rPr>
              <w:t xml:space="preserve">, whereas the DSIT Lab is </w:t>
            </w:r>
            <w:r w:rsidR="00357327">
              <w:rPr>
                <w:rFonts w:ascii="Calibri" w:hAnsi="Calibri" w:cs="Calibri"/>
              </w:rPr>
              <w:t>for all areas of the economy.</w:t>
            </w:r>
          </w:p>
        </w:tc>
        <w:tc>
          <w:tcPr>
            <w:tcW w:w="3634" w:type="dxa"/>
          </w:tcPr>
          <w:p w14:paraId="30925EF3" w14:textId="11133C30" w:rsidR="00337A5A" w:rsidRDefault="00F040D0" w:rsidP="003111CD">
            <w:pPr>
              <w:rPr>
                <w:rFonts w:ascii="Calibri" w:hAnsi="Calibri" w:cs="Calibri"/>
              </w:rPr>
            </w:pPr>
            <w:r>
              <w:rPr>
                <w:rFonts w:ascii="Calibri" w:hAnsi="Calibri" w:cs="Calibri"/>
              </w:rPr>
              <w:t>The AI San</w:t>
            </w:r>
            <w:r w:rsidR="00992F57">
              <w:rPr>
                <w:rFonts w:ascii="Calibri" w:hAnsi="Calibri" w:cs="Calibri"/>
              </w:rPr>
              <w:t>dbox a</w:t>
            </w:r>
            <w:r w:rsidRPr="00F040D0">
              <w:rPr>
                <w:rFonts w:ascii="Calibri" w:hAnsi="Calibri" w:cs="Calibri"/>
              </w:rPr>
              <w:t xml:space="preserve">voids </w:t>
            </w:r>
            <w:r w:rsidR="00992F57">
              <w:rPr>
                <w:rFonts w:ascii="Calibri" w:hAnsi="Calibri" w:cs="Calibri"/>
              </w:rPr>
              <w:t>licensees from</w:t>
            </w:r>
            <w:r w:rsidRPr="00F040D0">
              <w:rPr>
                <w:rFonts w:ascii="Calibri" w:hAnsi="Calibri" w:cs="Calibri"/>
              </w:rPr>
              <w:t xml:space="preserve"> being drawn into generic AI pilots that lack energy system realism</w:t>
            </w:r>
            <w:r w:rsidR="00992F57">
              <w:rPr>
                <w:rFonts w:ascii="Calibri" w:hAnsi="Calibri" w:cs="Calibri"/>
              </w:rPr>
              <w:t>.</w:t>
            </w:r>
          </w:p>
        </w:tc>
      </w:tr>
    </w:tbl>
    <w:p w14:paraId="7814B416" w14:textId="77777777" w:rsidR="00D161C6" w:rsidRDefault="00D161C6" w:rsidP="00697BB5">
      <w:pPr>
        <w:rPr>
          <w:rFonts w:ascii="Calibri" w:hAnsi="Calibri" w:cs="Calibri"/>
        </w:rPr>
      </w:pPr>
    </w:p>
    <w:p w14:paraId="2C3CE509" w14:textId="4B1C5C54" w:rsidR="008467D3" w:rsidRDefault="008467D3" w:rsidP="00F639FF">
      <w:pPr>
        <w:rPr>
          <w:rFonts w:ascii="Calibri" w:hAnsi="Calibri" w:cs="Calibri"/>
        </w:rPr>
      </w:pPr>
    </w:p>
    <w:p w14:paraId="13A6AF9A" w14:textId="77777777" w:rsidR="00742952" w:rsidRDefault="00742952" w:rsidP="00F639FF">
      <w:pPr>
        <w:rPr>
          <w:rFonts w:ascii="Calibri" w:hAnsi="Calibri" w:cs="Calibri"/>
        </w:rPr>
      </w:pPr>
    </w:p>
    <w:p w14:paraId="559608F2" w14:textId="77777777" w:rsidR="00742952" w:rsidRDefault="00742952" w:rsidP="00F639FF">
      <w:pPr>
        <w:rPr>
          <w:rFonts w:ascii="Calibri" w:hAnsi="Calibri" w:cs="Calibri"/>
        </w:rPr>
      </w:pPr>
    </w:p>
    <w:p w14:paraId="39255F32" w14:textId="540D43B0" w:rsidR="00742952" w:rsidRDefault="00EE25A1" w:rsidP="00C70780">
      <w:pPr>
        <w:rPr>
          <w:rFonts w:ascii="Calibri" w:hAnsi="Calibri" w:cs="Calibri"/>
          <w:b/>
          <w:bCs/>
          <w:sz w:val="24"/>
          <w:szCs w:val="24"/>
        </w:rPr>
      </w:pPr>
      <w:r w:rsidRPr="004B0F4E">
        <w:rPr>
          <w:rStyle w:val="Heading3Char"/>
          <w:rFonts w:ascii="Calibri" w:hAnsi="Calibri" w:cs="Calibri"/>
          <w:b/>
          <w:bCs/>
          <w:color w:val="auto"/>
          <w:sz w:val="24"/>
          <w:szCs w:val="24"/>
        </w:rPr>
        <w:t xml:space="preserve">Q4. </w:t>
      </w:r>
      <w:r w:rsidR="00C70780" w:rsidRPr="004B0F4E">
        <w:rPr>
          <w:rStyle w:val="Heading3Char"/>
          <w:rFonts w:ascii="Calibri" w:hAnsi="Calibri" w:cs="Calibri"/>
          <w:b/>
          <w:bCs/>
          <w:color w:val="auto"/>
          <w:sz w:val="24"/>
          <w:szCs w:val="24"/>
        </w:rPr>
        <w:t>Engagement and governance</w:t>
      </w:r>
      <w:r w:rsidR="00C70780" w:rsidRPr="004B0F4E">
        <w:rPr>
          <w:rFonts w:ascii="Calibri" w:hAnsi="Calibri" w:cs="Calibri"/>
          <w:b/>
          <w:bCs/>
        </w:rPr>
        <w:t xml:space="preserve"> </w:t>
      </w:r>
      <w:r w:rsidR="00C70780" w:rsidRPr="004B0F4E">
        <w:rPr>
          <w:rFonts w:ascii="Calibri" w:hAnsi="Calibri" w:cs="Calibri"/>
          <w:b/>
          <w:bCs/>
          <w:sz w:val="24"/>
          <w:szCs w:val="24"/>
        </w:rPr>
        <w:t>- Does the proposed governance structure (steering group, working groups, open forums) provide sufficient oversight, transparency, and opportunities for stakeholder engagement? Are there other mechanisms or safeguards that should be included to ensure effective governance and knowledge sharing?</w:t>
      </w:r>
    </w:p>
    <w:p w14:paraId="2438BB58" w14:textId="3DBC0642" w:rsidR="000A3897" w:rsidRDefault="00B1676A" w:rsidP="007140B4">
      <w:pPr>
        <w:rPr>
          <w:rFonts w:ascii="Calibri" w:hAnsi="Calibri" w:cs="Calibri"/>
        </w:rPr>
      </w:pPr>
      <w:r w:rsidRPr="00B1676A">
        <w:rPr>
          <w:rFonts w:ascii="Calibri" w:hAnsi="Calibri" w:cs="Calibri"/>
        </w:rPr>
        <w:t>From a Northern Gas Networks perspective, the proposed governance structure is</w:t>
      </w:r>
      <w:r>
        <w:rPr>
          <w:rFonts w:ascii="Calibri" w:hAnsi="Calibri" w:cs="Calibri"/>
        </w:rPr>
        <w:t xml:space="preserve"> f</w:t>
      </w:r>
      <w:r w:rsidRPr="00B1676A">
        <w:rPr>
          <w:rFonts w:ascii="Calibri" w:hAnsi="Calibri" w:cs="Calibri"/>
        </w:rPr>
        <w:t>it for purpose</w:t>
      </w:r>
      <w:r w:rsidR="00355255">
        <w:rPr>
          <w:rFonts w:ascii="Calibri" w:hAnsi="Calibri" w:cs="Calibri"/>
        </w:rPr>
        <w:t xml:space="preserve"> in </w:t>
      </w:r>
      <w:r w:rsidR="00355255" w:rsidRPr="00355255">
        <w:rPr>
          <w:rFonts w:ascii="Calibri" w:hAnsi="Calibri" w:cs="Calibri"/>
        </w:rPr>
        <w:t>provid</w:t>
      </w:r>
      <w:r w:rsidR="00355255">
        <w:rPr>
          <w:rFonts w:ascii="Calibri" w:hAnsi="Calibri" w:cs="Calibri"/>
        </w:rPr>
        <w:t>ing</w:t>
      </w:r>
      <w:r w:rsidR="00355255" w:rsidRPr="00355255">
        <w:rPr>
          <w:rFonts w:ascii="Calibri" w:hAnsi="Calibri" w:cs="Calibri"/>
        </w:rPr>
        <w:t xml:space="preserve"> oversight, transparency and stakeholder engagement for a pilot phase</w:t>
      </w:r>
      <w:r w:rsidR="00EA2A68">
        <w:rPr>
          <w:rFonts w:ascii="Calibri" w:hAnsi="Calibri" w:cs="Calibri"/>
        </w:rPr>
        <w:t>.</w:t>
      </w:r>
      <w:r w:rsidR="007140B4">
        <w:rPr>
          <w:rFonts w:ascii="Calibri" w:hAnsi="Calibri" w:cs="Calibri"/>
        </w:rPr>
        <w:t xml:space="preserve"> The proposed </w:t>
      </w:r>
      <w:r w:rsidR="007140B4" w:rsidRPr="007140B4">
        <w:rPr>
          <w:rFonts w:ascii="Calibri" w:hAnsi="Calibri" w:cs="Calibri"/>
        </w:rPr>
        <w:t>structure</w:t>
      </w:r>
      <w:r w:rsidR="007140B4">
        <w:rPr>
          <w:rFonts w:ascii="Calibri" w:hAnsi="Calibri" w:cs="Calibri"/>
        </w:rPr>
        <w:t xml:space="preserve"> e</w:t>
      </w:r>
      <w:r w:rsidR="007140B4" w:rsidRPr="007140B4">
        <w:rPr>
          <w:rFonts w:ascii="Calibri" w:hAnsi="Calibri" w:cs="Calibri"/>
        </w:rPr>
        <w:t>nables independent challenge and</w:t>
      </w:r>
      <w:r w:rsidR="007140B4">
        <w:rPr>
          <w:rFonts w:ascii="Calibri" w:hAnsi="Calibri" w:cs="Calibri"/>
        </w:rPr>
        <w:t xml:space="preserve"> c</w:t>
      </w:r>
      <w:r w:rsidR="007140B4" w:rsidRPr="007140B4">
        <w:rPr>
          <w:rFonts w:ascii="Calibri" w:hAnsi="Calibri" w:cs="Calibri"/>
        </w:rPr>
        <w:t>reates multiple routes for learning to flow back into the sector.</w:t>
      </w:r>
      <w:r w:rsidR="00947083">
        <w:rPr>
          <w:rFonts w:ascii="Calibri" w:hAnsi="Calibri" w:cs="Calibri"/>
        </w:rPr>
        <w:t xml:space="preserve"> For the steering group </w:t>
      </w:r>
      <w:r w:rsidR="00D47E4E">
        <w:rPr>
          <w:rFonts w:ascii="Calibri" w:hAnsi="Calibri" w:cs="Calibri"/>
        </w:rPr>
        <w:t>t</w:t>
      </w:r>
      <w:r w:rsidR="00D47E4E" w:rsidRPr="00D47E4E">
        <w:rPr>
          <w:rFonts w:ascii="Calibri" w:hAnsi="Calibri" w:cs="Calibri"/>
        </w:rPr>
        <w:t>he expectation that members act independently and manage conflicts of interest is critical, particularly where network operators, vendors and consumer interests intersect.</w:t>
      </w:r>
      <w:r w:rsidR="005A2DAC">
        <w:rPr>
          <w:rFonts w:ascii="Calibri" w:hAnsi="Calibri" w:cs="Calibri"/>
        </w:rPr>
        <w:t xml:space="preserve"> Working groups are essential to provide technical an operational expertise in depth, whilst open forums provide the opportunity for transparency and stakeholder feedback. Well-defined terms of reference are needed for all three </w:t>
      </w:r>
      <w:r w:rsidR="007252BC">
        <w:rPr>
          <w:rFonts w:ascii="Calibri" w:hAnsi="Calibri" w:cs="Calibri"/>
        </w:rPr>
        <w:t>parts of this structure.</w:t>
      </w:r>
      <w:r w:rsidR="001E589C">
        <w:rPr>
          <w:rFonts w:ascii="Calibri" w:hAnsi="Calibri" w:cs="Calibri"/>
        </w:rPr>
        <w:t xml:space="preserve"> Oversight</w:t>
      </w:r>
      <w:r w:rsidR="00F815EB">
        <w:rPr>
          <w:rFonts w:ascii="Calibri" w:hAnsi="Calibri" w:cs="Calibri"/>
        </w:rPr>
        <w:t xml:space="preserve">, transparency and reporting are, we believe, especially important </w:t>
      </w:r>
      <w:r w:rsidR="000A3897">
        <w:rPr>
          <w:rFonts w:ascii="Calibri" w:hAnsi="Calibri" w:cs="Calibri"/>
        </w:rPr>
        <w:t xml:space="preserve">and we welcome </w:t>
      </w:r>
      <w:proofErr w:type="spellStart"/>
      <w:r w:rsidR="000A3897">
        <w:rPr>
          <w:rFonts w:ascii="Calibri" w:hAnsi="Calibri" w:cs="Calibri"/>
        </w:rPr>
        <w:t>Ofgems</w:t>
      </w:r>
      <w:proofErr w:type="spellEnd"/>
      <w:r w:rsidR="000A3897">
        <w:rPr>
          <w:rFonts w:ascii="Calibri" w:hAnsi="Calibri" w:cs="Calibri"/>
        </w:rPr>
        <w:t xml:space="preserve"> commitment in this area.</w:t>
      </w:r>
    </w:p>
    <w:p w14:paraId="30BCF0A2" w14:textId="4E782AE5" w:rsidR="0079008F" w:rsidRDefault="0079008F" w:rsidP="007140B4">
      <w:pPr>
        <w:rPr>
          <w:rFonts w:ascii="Calibri" w:hAnsi="Calibri" w:cs="Calibri"/>
        </w:rPr>
      </w:pPr>
      <w:r>
        <w:rPr>
          <w:rFonts w:ascii="Calibri" w:hAnsi="Calibri" w:cs="Calibri"/>
        </w:rPr>
        <w:t xml:space="preserve">Membership of the </w:t>
      </w:r>
      <w:r w:rsidR="00C20C55">
        <w:rPr>
          <w:rFonts w:ascii="Calibri" w:hAnsi="Calibri" w:cs="Calibri"/>
        </w:rPr>
        <w:t xml:space="preserve">steering group could be enhanced by the inclusion of </w:t>
      </w:r>
      <w:r w:rsidR="004F2000">
        <w:rPr>
          <w:rFonts w:ascii="Calibri" w:hAnsi="Calibri" w:cs="Calibri"/>
        </w:rPr>
        <w:t>SMEs</w:t>
      </w:r>
      <w:r w:rsidR="00B468FD">
        <w:rPr>
          <w:rFonts w:ascii="Calibri" w:hAnsi="Calibri" w:cs="Calibri"/>
        </w:rPr>
        <w:t xml:space="preserve"> from</w:t>
      </w:r>
      <w:r w:rsidR="004F2000">
        <w:rPr>
          <w:rFonts w:ascii="Calibri" w:hAnsi="Calibri" w:cs="Calibri"/>
        </w:rPr>
        <w:t xml:space="preserve"> outside of the energy sector.</w:t>
      </w:r>
    </w:p>
    <w:p w14:paraId="1374DAA8" w14:textId="73126E60" w:rsidR="000A3897" w:rsidRDefault="000A3897" w:rsidP="007140B4">
      <w:pPr>
        <w:rPr>
          <w:rFonts w:ascii="Calibri" w:hAnsi="Calibri" w:cs="Calibri"/>
        </w:rPr>
      </w:pPr>
      <w:r>
        <w:rPr>
          <w:rFonts w:ascii="Calibri" w:hAnsi="Calibri" w:cs="Calibri"/>
        </w:rPr>
        <w:t>Northern Gas Network</w:t>
      </w:r>
      <w:r w:rsidR="00297909">
        <w:rPr>
          <w:rFonts w:ascii="Calibri" w:hAnsi="Calibri" w:cs="Calibri"/>
        </w:rPr>
        <w:t xml:space="preserve">s is keen to support and </w:t>
      </w:r>
      <w:r w:rsidR="0079008F">
        <w:rPr>
          <w:rFonts w:ascii="Calibri" w:hAnsi="Calibri" w:cs="Calibri"/>
        </w:rPr>
        <w:t>e</w:t>
      </w:r>
      <w:r w:rsidR="00297909">
        <w:rPr>
          <w:rFonts w:ascii="Calibri" w:hAnsi="Calibri" w:cs="Calibri"/>
        </w:rPr>
        <w:t xml:space="preserve">ngage in this </w:t>
      </w:r>
      <w:r w:rsidR="0079008F">
        <w:rPr>
          <w:rFonts w:ascii="Calibri" w:hAnsi="Calibri" w:cs="Calibri"/>
        </w:rPr>
        <w:t>governance structure</w:t>
      </w:r>
      <w:r w:rsidR="00B468FD">
        <w:rPr>
          <w:rFonts w:ascii="Calibri" w:hAnsi="Calibri" w:cs="Calibri"/>
        </w:rPr>
        <w:t>.</w:t>
      </w:r>
    </w:p>
    <w:p w14:paraId="0BB68231" w14:textId="77777777" w:rsidR="00B468FD" w:rsidRDefault="00B468FD" w:rsidP="007140B4">
      <w:pPr>
        <w:rPr>
          <w:rFonts w:ascii="Calibri" w:hAnsi="Calibri" w:cs="Calibri"/>
        </w:rPr>
      </w:pPr>
    </w:p>
    <w:p w14:paraId="588CAEDF" w14:textId="0E08067A" w:rsidR="00B468FD" w:rsidRDefault="007F5BBA" w:rsidP="006B33FC">
      <w:pPr>
        <w:rPr>
          <w:rFonts w:ascii="Calibri" w:hAnsi="Calibri" w:cs="Calibri"/>
          <w:b/>
          <w:bCs/>
          <w:sz w:val="24"/>
          <w:szCs w:val="24"/>
        </w:rPr>
      </w:pPr>
      <w:r w:rsidRPr="006B33FC">
        <w:rPr>
          <w:rStyle w:val="Heading3Char"/>
          <w:rFonts w:ascii="Calibri" w:hAnsi="Calibri" w:cs="Calibri"/>
          <w:b/>
          <w:bCs/>
          <w:color w:val="auto"/>
          <w:sz w:val="24"/>
          <w:szCs w:val="24"/>
        </w:rPr>
        <w:t xml:space="preserve">Q5. </w:t>
      </w:r>
      <w:r w:rsidR="00757BD5" w:rsidRPr="006B33FC">
        <w:rPr>
          <w:rStyle w:val="Heading3Char"/>
          <w:rFonts w:ascii="Calibri" w:hAnsi="Calibri" w:cs="Calibri"/>
          <w:b/>
          <w:bCs/>
          <w:color w:val="auto"/>
          <w:sz w:val="24"/>
          <w:szCs w:val="24"/>
        </w:rPr>
        <w:t>Timelines and next steps</w:t>
      </w:r>
      <w:r w:rsidR="00757BD5" w:rsidRPr="006B33FC">
        <w:rPr>
          <w:rFonts w:ascii="Calibri" w:hAnsi="Calibri" w:cs="Calibri"/>
          <w:b/>
          <w:bCs/>
        </w:rPr>
        <w:t xml:space="preserve"> </w:t>
      </w:r>
      <w:r w:rsidR="00757BD5" w:rsidRPr="006B33FC">
        <w:rPr>
          <w:rFonts w:ascii="Calibri" w:hAnsi="Calibri" w:cs="Calibri"/>
          <w:b/>
          <w:bCs/>
          <w:sz w:val="24"/>
          <w:szCs w:val="24"/>
        </w:rPr>
        <w:t xml:space="preserve">- </w:t>
      </w:r>
      <w:r w:rsidR="006B33FC" w:rsidRPr="006B33FC">
        <w:rPr>
          <w:rFonts w:ascii="Calibri" w:hAnsi="Calibri" w:cs="Calibri"/>
          <w:b/>
          <w:bCs/>
          <w:sz w:val="24"/>
          <w:szCs w:val="24"/>
        </w:rPr>
        <w:t>Are the proposed next steps for developing and launching the pilot clear, and is there anything further we should consider as we refine the timeline?</w:t>
      </w:r>
    </w:p>
    <w:p w14:paraId="04DB6DE5" w14:textId="7555B411" w:rsidR="006B33FC" w:rsidRDefault="00A933FB" w:rsidP="006B33FC">
      <w:pPr>
        <w:rPr>
          <w:rFonts w:ascii="Calibri" w:hAnsi="Calibri" w:cs="Calibri"/>
        </w:rPr>
      </w:pPr>
      <w:r w:rsidRPr="00A933FB">
        <w:rPr>
          <w:rFonts w:ascii="Calibri" w:hAnsi="Calibri" w:cs="Calibri"/>
        </w:rPr>
        <w:t xml:space="preserve">From </w:t>
      </w:r>
      <w:r w:rsidR="00343832">
        <w:rPr>
          <w:rFonts w:ascii="Calibri" w:hAnsi="Calibri" w:cs="Calibri"/>
        </w:rPr>
        <w:t>the perspective of</w:t>
      </w:r>
      <w:r w:rsidRPr="00A933FB">
        <w:rPr>
          <w:rFonts w:ascii="Calibri" w:hAnsi="Calibri" w:cs="Calibri"/>
        </w:rPr>
        <w:t xml:space="preserve"> Northern Gas Networks the proposed next steps for developing and launching the AI Technical Sandbox are clear and proportionate for a pilot.</w:t>
      </w:r>
    </w:p>
    <w:p w14:paraId="73B4BFC6" w14:textId="49B62379" w:rsidR="005A5230" w:rsidRDefault="005A5230" w:rsidP="006B33FC">
      <w:pPr>
        <w:rPr>
          <w:rFonts w:ascii="Calibri" w:hAnsi="Calibri" w:cs="Calibri"/>
        </w:rPr>
      </w:pPr>
      <w:r>
        <w:rPr>
          <w:rFonts w:ascii="Calibri" w:hAnsi="Calibri" w:cs="Calibri"/>
        </w:rPr>
        <w:t xml:space="preserve">It would be helpful to have as much prior knowledge as possible of </w:t>
      </w:r>
      <w:proofErr w:type="spellStart"/>
      <w:r w:rsidR="008E5540">
        <w:rPr>
          <w:rFonts w:ascii="Calibri" w:hAnsi="Calibri" w:cs="Calibri"/>
        </w:rPr>
        <w:t>Ofgems</w:t>
      </w:r>
      <w:proofErr w:type="spellEnd"/>
      <w:r w:rsidR="008E5540">
        <w:rPr>
          <w:rFonts w:ascii="Calibri" w:hAnsi="Calibri" w:cs="Calibri"/>
        </w:rPr>
        <w:t xml:space="preserve"> expectations around the maturity of any proposed AI </w:t>
      </w:r>
      <w:r w:rsidR="000A3805">
        <w:rPr>
          <w:rFonts w:ascii="Calibri" w:hAnsi="Calibri" w:cs="Calibri"/>
        </w:rPr>
        <w:t xml:space="preserve">solution, and </w:t>
      </w:r>
      <w:r w:rsidR="007D6C4A">
        <w:rPr>
          <w:rFonts w:ascii="Calibri" w:hAnsi="Calibri" w:cs="Calibri"/>
        </w:rPr>
        <w:t xml:space="preserve">the evidence and documentation required </w:t>
      </w:r>
      <w:r w:rsidR="00223B88">
        <w:rPr>
          <w:rFonts w:ascii="Calibri" w:hAnsi="Calibri" w:cs="Calibri"/>
        </w:rPr>
        <w:t>at application, this would a</w:t>
      </w:r>
      <w:r w:rsidR="00117136">
        <w:rPr>
          <w:rFonts w:ascii="Calibri" w:hAnsi="Calibri" w:cs="Calibri"/>
        </w:rPr>
        <w:t xml:space="preserve">llow for sufficient time to adequately prepare </w:t>
      </w:r>
      <w:r w:rsidR="00C876A7">
        <w:rPr>
          <w:rFonts w:ascii="Calibri" w:hAnsi="Calibri" w:cs="Calibri"/>
        </w:rPr>
        <w:t>applications prior to submission.</w:t>
      </w:r>
      <w:r w:rsidR="0007502B">
        <w:rPr>
          <w:rFonts w:ascii="Calibri" w:hAnsi="Calibri" w:cs="Calibri"/>
        </w:rPr>
        <w:t xml:space="preserve"> It may also be beneficial to </w:t>
      </w:r>
      <w:r w:rsidR="002E6472">
        <w:rPr>
          <w:rFonts w:ascii="Calibri" w:hAnsi="Calibri" w:cs="Calibri"/>
        </w:rPr>
        <w:t xml:space="preserve">use a phased approach to </w:t>
      </w:r>
      <w:r w:rsidR="00824BCF">
        <w:rPr>
          <w:rFonts w:ascii="Calibri" w:hAnsi="Calibri" w:cs="Calibri"/>
        </w:rPr>
        <w:t xml:space="preserve">the types of use cases being considered, for example prioritising smaller, low-risk projects first to </w:t>
      </w:r>
      <w:r w:rsidR="00191AD5">
        <w:rPr>
          <w:rFonts w:ascii="Calibri" w:hAnsi="Calibri" w:cs="Calibri"/>
        </w:rPr>
        <w:t xml:space="preserve">gain useful insight prior to the consideration of weightier, higher-risk </w:t>
      </w:r>
      <w:r w:rsidR="004F44DC">
        <w:rPr>
          <w:rFonts w:ascii="Calibri" w:hAnsi="Calibri" w:cs="Calibri"/>
        </w:rPr>
        <w:t>initiatives.</w:t>
      </w:r>
    </w:p>
    <w:p w14:paraId="049B015F" w14:textId="77777777" w:rsidR="004F44DC" w:rsidRDefault="004F44DC" w:rsidP="006B33FC">
      <w:pPr>
        <w:rPr>
          <w:rFonts w:ascii="Calibri" w:hAnsi="Calibri" w:cs="Calibri"/>
        </w:rPr>
      </w:pPr>
    </w:p>
    <w:p w14:paraId="3E0EECCB" w14:textId="5CD4A86A" w:rsidR="004F44DC" w:rsidRDefault="00E77BF1" w:rsidP="00D42B41">
      <w:pPr>
        <w:rPr>
          <w:rFonts w:ascii="Calibri" w:hAnsi="Calibri" w:cs="Calibri"/>
        </w:rPr>
      </w:pPr>
      <w:r w:rsidRPr="00114028">
        <w:rPr>
          <w:rStyle w:val="Heading3Char"/>
          <w:rFonts w:ascii="Calibri" w:hAnsi="Calibri" w:cs="Calibri"/>
          <w:b/>
          <w:bCs/>
          <w:color w:val="auto"/>
          <w:sz w:val="24"/>
          <w:szCs w:val="24"/>
        </w:rPr>
        <w:t>Q6. Eth</w:t>
      </w:r>
      <w:r w:rsidR="004E5B67" w:rsidRPr="00114028">
        <w:rPr>
          <w:rStyle w:val="Heading3Char"/>
          <w:rFonts w:ascii="Calibri" w:hAnsi="Calibri" w:cs="Calibri"/>
          <w:b/>
          <w:bCs/>
          <w:color w:val="auto"/>
          <w:sz w:val="24"/>
          <w:szCs w:val="24"/>
        </w:rPr>
        <w:t>ics and responsible AI</w:t>
      </w:r>
      <w:r w:rsidR="004E5B67" w:rsidRPr="00114028">
        <w:rPr>
          <w:rFonts w:ascii="Calibri" w:hAnsi="Calibri" w:cs="Calibri"/>
          <w:b/>
          <w:bCs/>
        </w:rPr>
        <w:t xml:space="preserve"> </w:t>
      </w:r>
      <w:r w:rsidR="00114028">
        <w:rPr>
          <w:rFonts w:ascii="Calibri" w:hAnsi="Calibri" w:cs="Calibri"/>
          <w:b/>
          <w:bCs/>
          <w:sz w:val="24"/>
          <w:szCs w:val="24"/>
        </w:rPr>
        <w:t>-</w:t>
      </w:r>
      <w:r w:rsidR="004E5B67" w:rsidRPr="00D42B41">
        <w:rPr>
          <w:rFonts w:ascii="Calibri" w:hAnsi="Calibri" w:cs="Calibri"/>
          <w:b/>
          <w:bCs/>
          <w:sz w:val="24"/>
          <w:szCs w:val="24"/>
        </w:rPr>
        <w:t xml:space="preserve"> Does the consultation and proposed pilot sufficiently address ethical considerations (fairness, transparency, responsible use, consumer trust) in line</w:t>
      </w:r>
      <w:r w:rsidR="00D42B41" w:rsidRPr="00D42B41">
        <w:rPr>
          <w:rFonts w:ascii="Calibri" w:hAnsi="Calibri" w:cs="Calibri"/>
          <w:b/>
          <w:bCs/>
          <w:sz w:val="24"/>
          <w:szCs w:val="24"/>
        </w:rPr>
        <w:t xml:space="preserve"> with Ofgem’s AI guidance? Are there further steps we should take to embed ethics and safety in the sandbox?</w:t>
      </w:r>
    </w:p>
    <w:p w14:paraId="44FABF2B" w14:textId="485A555D" w:rsidR="00D42B41" w:rsidRDefault="00D21802" w:rsidP="00D42B41">
      <w:pPr>
        <w:rPr>
          <w:rFonts w:ascii="Calibri" w:hAnsi="Calibri" w:cs="Calibri"/>
        </w:rPr>
      </w:pPr>
      <w:r>
        <w:rPr>
          <w:rFonts w:ascii="Calibri" w:hAnsi="Calibri" w:cs="Calibri"/>
        </w:rPr>
        <w:t xml:space="preserve">We view </w:t>
      </w:r>
      <w:r w:rsidRPr="00D21802">
        <w:rPr>
          <w:rFonts w:ascii="Calibri" w:hAnsi="Calibri" w:cs="Calibri"/>
        </w:rPr>
        <w:t xml:space="preserve">the consultation and proposed pilot </w:t>
      </w:r>
      <w:r w:rsidR="00624544">
        <w:rPr>
          <w:rFonts w:ascii="Calibri" w:hAnsi="Calibri" w:cs="Calibri"/>
        </w:rPr>
        <w:t>as</w:t>
      </w:r>
      <w:r w:rsidRPr="00D21802">
        <w:rPr>
          <w:rFonts w:ascii="Calibri" w:hAnsi="Calibri" w:cs="Calibri"/>
        </w:rPr>
        <w:t xml:space="preserve"> sufficiently address</w:t>
      </w:r>
      <w:r w:rsidR="00624544">
        <w:rPr>
          <w:rFonts w:ascii="Calibri" w:hAnsi="Calibri" w:cs="Calibri"/>
        </w:rPr>
        <w:t>ing</w:t>
      </w:r>
      <w:r w:rsidRPr="00D21802">
        <w:rPr>
          <w:rFonts w:ascii="Calibri" w:hAnsi="Calibri" w:cs="Calibri"/>
        </w:rPr>
        <w:t xml:space="preserve"> ethical considerations and </w:t>
      </w:r>
      <w:r w:rsidR="00624544">
        <w:rPr>
          <w:rFonts w:ascii="Calibri" w:hAnsi="Calibri" w:cs="Calibri"/>
        </w:rPr>
        <w:t xml:space="preserve">agree that they </w:t>
      </w:r>
      <w:r w:rsidRPr="00D21802">
        <w:rPr>
          <w:rFonts w:ascii="Calibri" w:hAnsi="Calibri" w:cs="Calibri"/>
        </w:rPr>
        <w:t>are well aligned with Ofgem’s Ethical AI Guidance.</w:t>
      </w:r>
      <w:r w:rsidR="00BC212B">
        <w:rPr>
          <w:rFonts w:ascii="Calibri" w:hAnsi="Calibri" w:cs="Calibri"/>
        </w:rPr>
        <w:t xml:space="preserve"> We believe that the sandbox </w:t>
      </w:r>
      <w:r w:rsidR="003E5711">
        <w:rPr>
          <w:rFonts w:ascii="Calibri" w:hAnsi="Calibri" w:cs="Calibri"/>
        </w:rPr>
        <w:t>represents an opportunity to operationalise the ethical principles that Ofgem have put forward</w:t>
      </w:r>
      <w:r w:rsidR="00493B7E">
        <w:rPr>
          <w:rFonts w:ascii="Calibri" w:hAnsi="Calibri" w:cs="Calibri"/>
        </w:rPr>
        <w:t xml:space="preserve"> in their guidance</w:t>
      </w:r>
      <w:r w:rsidR="00E32364">
        <w:rPr>
          <w:rFonts w:ascii="Calibri" w:hAnsi="Calibri" w:cs="Calibri"/>
        </w:rPr>
        <w:t xml:space="preserve"> and that the </w:t>
      </w:r>
      <w:r w:rsidR="007549F5">
        <w:rPr>
          <w:rFonts w:ascii="Calibri" w:hAnsi="Calibri" w:cs="Calibri"/>
        </w:rPr>
        <w:t>application and testing of ethics through the s</w:t>
      </w:r>
      <w:r w:rsidR="00C163A4">
        <w:rPr>
          <w:rFonts w:ascii="Calibri" w:hAnsi="Calibri" w:cs="Calibri"/>
        </w:rPr>
        <w:t>a</w:t>
      </w:r>
      <w:r w:rsidR="007549F5">
        <w:rPr>
          <w:rFonts w:ascii="Calibri" w:hAnsi="Calibri" w:cs="Calibri"/>
        </w:rPr>
        <w:t>ndbox, along with any learnings derived , should be published</w:t>
      </w:r>
      <w:r w:rsidR="00594DB7">
        <w:rPr>
          <w:rFonts w:ascii="Calibri" w:hAnsi="Calibri" w:cs="Calibri"/>
        </w:rPr>
        <w:t xml:space="preserve"> to help promote consistency of ethics considerations across the sector, and to increase both industry and consumer-trust in </w:t>
      </w:r>
      <w:r w:rsidR="00C163A4">
        <w:rPr>
          <w:rFonts w:ascii="Calibri" w:hAnsi="Calibri" w:cs="Calibri"/>
        </w:rPr>
        <w:t>the use of AI-solutions.</w:t>
      </w:r>
    </w:p>
    <w:p w14:paraId="58F3E5D9" w14:textId="77777777" w:rsidR="00CD6BB4" w:rsidRDefault="00CD6BB4" w:rsidP="00D42B41">
      <w:pPr>
        <w:rPr>
          <w:rFonts w:ascii="Calibri" w:hAnsi="Calibri" w:cs="Calibri"/>
        </w:rPr>
      </w:pPr>
    </w:p>
    <w:p w14:paraId="7CBA81E6" w14:textId="77777777" w:rsidR="00CD6BB4" w:rsidRDefault="00CD6BB4" w:rsidP="00D42B41">
      <w:pPr>
        <w:rPr>
          <w:rFonts w:ascii="Calibri" w:hAnsi="Calibri" w:cs="Calibri"/>
        </w:rPr>
      </w:pPr>
    </w:p>
    <w:p w14:paraId="080D3A9C" w14:textId="0BA59B8A" w:rsidR="00270D67" w:rsidRDefault="00270D67" w:rsidP="006B1CD9">
      <w:pPr>
        <w:rPr>
          <w:rFonts w:ascii="Calibri" w:hAnsi="Calibri" w:cs="Calibri"/>
        </w:rPr>
      </w:pPr>
      <w:r w:rsidRPr="0015472A">
        <w:rPr>
          <w:rStyle w:val="Heading3Char"/>
          <w:rFonts w:ascii="Calibri" w:hAnsi="Calibri" w:cs="Calibri"/>
          <w:b/>
          <w:bCs/>
          <w:color w:val="auto"/>
          <w:sz w:val="24"/>
          <w:szCs w:val="24"/>
        </w:rPr>
        <w:t xml:space="preserve">Q7. </w:t>
      </w:r>
      <w:r w:rsidR="006B1CD9" w:rsidRPr="0015472A">
        <w:rPr>
          <w:rStyle w:val="Heading3Char"/>
          <w:rFonts w:ascii="Calibri" w:hAnsi="Calibri" w:cs="Calibri"/>
          <w:b/>
          <w:bCs/>
          <w:color w:val="auto"/>
          <w:sz w:val="24"/>
          <w:szCs w:val="24"/>
        </w:rPr>
        <w:t>Stakeholder support</w:t>
      </w:r>
      <w:r w:rsidR="006B1CD9" w:rsidRPr="0015472A">
        <w:rPr>
          <w:rFonts w:ascii="Calibri" w:hAnsi="Calibri" w:cs="Calibri"/>
          <w:b/>
          <w:bCs/>
        </w:rPr>
        <w:t xml:space="preserve"> </w:t>
      </w:r>
      <w:r w:rsidR="006B1CD9" w:rsidRPr="003B15C6">
        <w:rPr>
          <w:rFonts w:ascii="Calibri" w:hAnsi="Calibri" w:cs="Calibri"/>
          <w:b/>
          <w:bCs/>
          <w:sz w:val="24"/>
          <w:szCs w:val="24"/>
        </w:rPr>
        <w:t>- Do you have suggestions for how Ofgem can best support stakeholders throughout the pilot and beyond?</w:t>
      </w:r>
    </w:p>
    <w:p w14:paraId="4E6F51E5" w14:textId="25E98106" w:rsidR="006767F9" w:rsidRPr="006767F9" w:rsidRDefault="006767F9" w:rsidP="006767F9">
      <w:pPr>
        <w:rPr>
          <w:rFonts w:ascii="Calibri" w:hAnsi="Calibri" w:cs="Calibri"/>
        </w:rPr>
      </w:pPr>
      <w:r w:rsidRPr="006767F9">
        <w:rPr>
          <w:rFonts w:ascii="Calibri" w:hAnsi="Calibri" w:cs="Calibri"/>
        </w:rPr>
        <w:t>Ofgem can materially increase the value, accessibility and impact of the sandbox through active enablement, not just oversight.</w:t>
      </w:r>
      <w:r w:rsidR="00C3686A">
        <w:rPr>
          <w:rFonts w:ascii="Calibri" w:hAnsi="Calibri" w:cs="Calibri"/>
        </w:rPr>
        <w:t xml:space="preserve"> </w:t>
      </w:r>
      <w:r w:rsidRPr="006767F9">
        <w:rPr>
          <w:rFonts w:ascii="Calibri" w:hAnsi="Calibri" w:cs="Calibri"/>
        </w:rPr>
        <w:t>The most effective support will come from helping stakeholders prepare, participate, learn, and transition from sandbox activity into real world deployment or regulatory change.</w:t>
      </w:r>
    </w:p>
    <w:p w14:paraId="2EBEC9C5" w14:textId="4ECA1F74" w:rsidR="003B15C6" w:rsidRDefault="006767F9" w:rsidP="006767F9">
      <w:pPr>
        <w:rPr>
          <w:rFonts w:ascii="Calibri" w:hAnsi="Calibri" w:cs="Calibri"/>
        </w:rPr>
      </w:pPr>
      <w:r w:rsidRPr="006767F9">
        <w:rPr>
          <w:rFonts w:ascii="Calibri" w:hAnsi="Calibri" w:cs="Calibri"/>
        </w:rPr>
        <w:t xml:space="preserve">Support </w:t>
      </w:r>
      <w:r w:rsidR="00C3686A">
        <w:rPr>
          <w:rFonts w:ascii="Calibri" w:hAnsi="Calibri" w:cs="Calibri"/>
        </w:rPr>
        <w:t>c</w:t>
      </w:r>
      <w:r w:rsidRPr="006767F9">
        <w:rPr>
          <w:rFonts w:ascii="Calibri" w:hAnsi="Calibri" w:cs="Calibri"/>
        </w:rPr>
        <w:t xml:space="preserve">ould be delivered across </w:t>
      </w:r>
      <w:r w:rsidR="00A57511">
        <w:rPr>
          <w:rFonts w:ascii="Calibri" w:hAnsi="Calibri" w:cs="Calibri"/>
        </w:rPr>
        <w:t>the following</w:t>
      </w:r>
      <w:r w:rsidRPr="006767F9">
        <w:rPr>
          <w:rFonts w:ascii="Calibri" w:hAnsi="Calibri" w:cs="Calibri"/>
        </w:rPr>
        <w:t xml:space="preserve"> phases:</w:t>
      </w:r>
      <w:r w:rsidR="00C3686A">
        <w:rPr>
          <w:rFonts w:ascii="Calibri" w:hAnsi="Calibri" w:cs="Calibri"/>
        </w:rPr>
        <w:t xml:space="preserve"> -</w:t>
      </w:r>
    </w:p>
    <w:p w14:paraId="2C39B959" w14:textId="4AB75725" w:rsidR="00C3686A" w:rsidRDefault="00577DD0" w:rsidP="00C91D44">
      <w:pPr>
        <w:pStyle w:val="ListParagraph"/>
        <w:numPr>
          <w:ilvl w:val="0"/>
          <w:numId w:val="2"/>
        </w:numPr>
        <w:rPr>
          <w:rFonts w:ascii="Calibri" w:hAnsi="Calibri" w:cs="Calibri"/>
        </w:rPr>
      </w:pPr>
      <w:r w:rsidRPr="00AB320D">
        <w:rPr>
          <w:rFonts w:ascii="Calibri" w:hAnsi="Calibri" w:cs="Calibri"/>
        </w:rPr>
        <w:t>Pre-entry</w:t>
      </w:r>
      <w:r w:rsidR="00C91D44" w:rsidRPr="00AB320D">
        <w:rPr>
          <w:rFonts w:ascii="Calibri" w:hAnsi="Calibri" w:cs="Calibri"/>
        </w:rPr>
        <w:t xml:space="preserve"> - Ofgem could support stakeholders by publishing early guidance on</w:t>
      </w:r>
      <w:r w:rsidR="00355619" w:rsidRPr="00AB320D">
        <w:rPr>
          <w:rFonts w:ascii="Calibri" w:hAnsi="Calibri" w:cs="Calibri"/>
        </w:rPr>
        <w:t xml:space="preserve"> w</w:t>
      </w:r>
      <w:r w:rsidR="00C91D44" w:rsidRPr="00AB320D">
        <w:rPr>
          <w:rFonts w:ascii="Calibri" w:hAnsi="Calibri" w:cs="Calibri"/>
        </w:rPr>
        <w:t>hat good looks like for sandbox ready AI use cases,</w:t>
      </w:r>
      <w:r w:rsidR="00355619" w:rsidRPr="00AB320D">
        <w:rPr>
          <w:rFonts w:ascii="Calibri" w:hAnsi="Calibri" w:cs="Calibri"/>
        </w:rPr>
        <w:t xml:space="preserve"> along with their ex</w:t>
      </w:r>
      <w:r w:rsidR="00C91D44" w:rsidRPr="00AB320D">
        <w:rPr>
          <w:rFonts w:ascii="Calibri" w:hAnsi="Calibri" w:cs="Calibri"/>
        </w:rPr>
        <w:t>pect</w:t>
      </w:r>
      <w:r w:rsidR="00355619" w:rsidRPr="00AB320D">
        <w:rPr>
          <w:rFonts w:ascii="Calibri" w:hAnsi="Calibri" w:cs="Calibri"/>
        </w:rPr>
        <w:t>ations</w:t>
      </w:r>
      <w:r w:rsidR="00017EAE" w:rsidRPr="00AB320D">
        <w:rPr>
          <w:rFonts w:ascii="Calibri" w:hAnsi="Calibri" w:cs="Calibri"/>
        </w:rPr>
        <w:t xml:space="preserve"> around the </w:t>
      </w:r>
      <w:r w:rsidR="00C91D44" w:rsidRPr="00AB320D">
        <w:rPr>
          <w:rFonts w:ascii="Calibri" w:hAnsi="Calibri" w:cs="Calibri"/>
        </w:rPr>
        <w:t xml:space="preserve">maturity of </w:t>
      </w:r>
      <w:r w:rsidR="00017EAE" w:rsidRPr="00AB320D">
        <w:rPr>
          <w:rFonts w:ascii="Calibri" w:hAnsi="Calibri" w:cs="Calibri"/>
        </w:rPr>
        <w:t>technology, models and</w:t>
      </w:r>
      <w:r w:rsidR="00C91D44" w:rsidRPr="00AB320D">
        <w:rPr>
          <w:rFonts w:ascii="Calibri" w:hAnsi="Calibri" w:cs="Calibri"/>
        </w:rPr>
        <w:t xml:space="preserve"> data</w:t>
      </w:r>
      <w:r w:rsidR="00017EAE" w:rsidRPr="00AB320D">
        <w:rPr>
          <w:rFonts w:ascii="Calibri" w:hAnsi="Calibri" w:cs="Calibri"/>
        </w:rPr>
        <w:t>. It would also be helpful if there were</w:t>
      </w:r>
      <w:r w:rsidR="00C91D44" w:rsidRPr="00AB320D">
        <w:rPr>
          <w:rFonts w:ascii="Calibri" w:hAnsi="Calibri" w:cs="Calibri"/>
        </w:rPr>
        <w:t xml:space="preserve"> example use cases (</w:t>
      </w:r>
      <w:r w:rsidR="00AB320D">
        <w:rPr>
          <w:rFonts w:ascii="Calibri" w:hAnsi="Calibri" w:cs="Calibri"/>
        </w:rPr>
        <w:t>relevant to</w:t>
      </w:r>
      <w:r w:rsidR="00C91D44" w:rsidRPr="00AB320D">
        <w:rPr>
          <w:rFonts w:ascii="Calibri" w:hAnsi="Calibri" w:cs="Calibri"/>
        </w:rPr>
        <w:t xml:space="preserve"> networ</w:t>
      </w:r>
      <w:r w:rsidR="00586A37">
        <w:rPr>
          <w:rFonts w:ascii="Calibri" w:hAnsi="Calibri" w:cs="Calibri"/>
        </w:rPr>
        <w:t>ks</w:t>
      </w:r>
      <w:r w:rsidR="00C91D44" w:rsidRPr="00AB320D">
        <w:rPr>
          <w:rFonts w:ascii="Calibri" w:hAnsi="Calibri" w:cs="Calibri"/>
        </w:rPr>
        <w:t>) mapped to the selection criteria.</w:t>
      </w:r>
    </w:p>
    <w:p w14:paraId="1A0F5A8A" w14:textId="5220DA25" w:rsidR="00586A37" w:rsidRDefault="000D0B90" w:rsidP="00C91D44">
      <w:pPr>
        <w:pStyle w:val="ListParagraph"/>
        <w:numPr>
          <w:ilvl w:val="0"/>
          <w:numId w:val="2"/>
        </w:numPr>
        <w:rPr>
          <w:rFonts w:ascii="Calibri" w:hAnsi="Calibri" w:cs="Calibri"/>
        </w:rPr>
      </w:pPr>
      <w:r>
        <w:rPr>
          <w:rFonts w:ascii="Calibri" w:hAnsi="Calibri" w:cs="Calibri"/>
        </w:rPr>
        <w:t>During</w:t>
      </w:r>
      <w:r w:rsidR="00C35448">
        <w:rPr>
          <w:rFonts w:ascii="Calibri" w:hAnsi="Calibri" w:cs="Calibri"/>
        </w:rPr>
        <w:t xml:space="preserve"> </w:t>
      </w:r>
      <w:r w:rsidR="00DC6870">
        <w:rPr>
          <w:rFonts w:ascii="Calibri" w:hAnsi="Calibri" w:cs="Calibri"/>
        </w:rPr>
        <w:t>–</w:t>
      </w:r>
      <w:r w:rsidR="00C35448">
        <w:rPr>
          <w:rFonts w:ascii="Calibri" w:hAnsi="Calibri" w:cs="Calibri"/>
        </w:rPr>
        <w:t xml:space="preserve"> </w:t>
      </w:r>
      <w:r w:rsidR="00DC6870">
        <w:rPr>
          <w:rFonts w:ascii="Calibri" w:hAnsi="Calibri" w:cs="Calibri"/>
        </w:rPr>
        <w:t>The application of</w:t>
      </w:r>
      <w:r w:rsidR="00723A7F">
        <w:rPr>
          <w:rFonts w:ascii="Calibri" w:hAnsi="Calibri" w:cs="Calibri"/>
        </w:rPr>
        <w:t xml:space="preserve"> p</w:t>
      </w:r>
      <w:r w:rsidR="00723A7F" w:rsidRPr="00723A7F">
        <w:rPr>
          <w:rFonts w:ascii="Calibri" w:hAnsi="Calibri" w:cs="Calibri"/>
        </w:rPr>
        <w:t>roportionate, risk based regulatory engagement</w:t>
      </w:r>
      <w:r w:rsidR="00723A7F">
        <w:rPr>
          <w:rFonts w:ascii="Calibri" w:hAnsi="Calibri" w:cs="Calibri"/>
        </w:rPr>
        <w:t xml:space="preserve"> </w:t>
      </w:r>
      <w:r w:rsidR="0018422B">
        <w:rPr>
          <w:rFonts w:ascii="Calibri" w:hAnsi="Calibri" w:cs="Calibri"/>
        </w:rPr>
        <w:t xml:space="preserve">with </w:t>
      </w:r>
      <w:r w:rsidR="00826E77">
        <w:rPr>
          <w:rFonts w:ascii="Calibri" w:hAnsi="Calibri" w:cs="Calibri"/>
        </w:rPr>
        <w:t>participants</w:t>
      </w:r>
      <w:r w:rsidR="0018422B">
        <w:rPr>
          <w:rFonts w:ascii="Calibri" w:hAnsi="Calibri" w:cs="Calibri"/>
        </w:rPr>
        <w:t xml:space="preserve"> as they </w:t>
      </w:r>
      <w:r w:rsidR="00826E77">
        <w:rPr>
          <w:rFonts w:ascii="Calibri" w:hAnsi="Calibri" w:cs="Calibri"/>
        </w:rPr>
        <w:t xml:space="preserve">progress through the sandbox is essential, </w:t>
      </w:r>
      <w:r w:rsidR="00532973">
        <w:rPr>
          <w:rFonts w:ascii="Calibri" w:hAnsi="Calibri" w:cs="Calibri"/>
        </w:rPr>
        <w:t xml:space="preserve">with higher-risk initiative receiving more </w:t>
      </w:r>
      <w:r w:rsidR="00F47148">
        <w:rPr>
          <w:rFonts w:ascii="Calibri" w:hAnsi="Calibri" w:cs="Calibri"/>
        </w:rPr>
        <w:t>support and challenge. A named Ofgem</w:t>
      </w:r>
      <w:r w:rsidR="00357570">
        <w:rPr>
          <w:rFonts w:ascii="Calibri" w:hAnsi="Calibri" w:cs="Calibri"/>
        </w:rPr>
        <w:t xml:space="preserve"> contact, acting as a </w:t>
      </w:r>
      <w:r w:rsidR="00EF77E3">
        <w:rPr>
          <w:rFonts w:ascii="Calibri" w:hAnsi="Calibri" w:cs="Calibri"/>
        </w:rPr>
        <w:t>relationship lead for each use case would be helpful,</w:t>
      </w:r>
      <w:r w:rsidR="00F8246D">
        <w:rPr>
          <w:rFonts w:ascii="Calibri" w:hAnsi="Calibri" w:cs="Calibri"/>
        </w:rPr>
        <w:t xml:space="preserve"> along with a published escalation route.</w:t>
      </w:r>
      <w:r w:rsidR="006D53E1">
        <w:rPr>
          <w:rFonts w:ascii="Calibri" w:hAnsi="Calibri" w:cs="Calibri"/>
        </w:rPr>
        <w:t xml:space="preserve"> Finally, maximising the opportunity to turn AI ethics guidance into practice, there could be </w:t>
      </w:r>
      <w:r w:rsidR="00EF78E1">
        <w:rPr>
          <w:rFonts w:ascii="Calibri" w:hAnsi="Calibri" w:cs="Calibri"/>
        </w:rPr>
        <w:t>consistent templates</w:t>
      </w:r>
      <w:r w:rsidR="00585163">
        <w:rPr>
          <w:rFonts w:ascii="Calibri" w:hAnsi="Calibri" w:cs="Calibri"/>
        </w:rPr>
        <w:t xml:space="preserve"> and</w:t>
      </w:r>
      <w:r w:rsidR="00EF78E1">
        <w:rPr>
          <w:rFonts w:ascii="Calibri" w:hAnsi="Calibri" w:cs="Calibri"/>
        </w:rPr>
        <w:t xml:space="preserve"> metrics</w:t>
      </w:r>
      <w:r w:rsidR="00A57511">
        <w:rPr>
          <w:rFonts w:ascii="Calibri" w:hAnsi="Calibri" w:cs="Calibri"/>
        </w:rPr>
        <w:t xml:space="preserve"> provided, and</w:t>
      </w:r>
      <w:r w:rsidR="00585163">
        <w:rPr>
          <w:rFonts w:ascii="Calibri" w:hAnsi="Calibri" w:cs="Calibri"/>
        </w:rPr>
        <w:t xml:space="preserve"> </w:t>
      </w:r>
      <w:r w:rsidR="00A57511">
        <w:rPr>
          <w:rFonts w:ascii="Calibri" w:hAnsi="Calibri" w:cs="Calibri"/>
        </w:rPr>
        <w:t>if not mandated then at least encouraged, by Ofgem.</w:t>
      </w:r>
    </w:p>
    <w:p w14:paraId="10F6FA82" w14:textId="50A8A0E7" w:rsidR="00A57511" w:rsidRDefault="00A57511" w:rsidP="00C91D44">
      <w:pPr>
        <w:pStyle w:val="ListParagraph"/>
        <w:numPr>
          <w:ilvl w:val="0"/>
          <w:numId w:val="2"/>
        </w:numPr>
        <w:rPr>
          <w:rFonts w:ascii="Calibri" w:hAnsi="Calibri" w:cs="Calibri"/>
        </w:rPr>
      </w:pPr>
      <w:r>
        <w:rPr>
          <w:rFonts w:ascii="Calibri" w:hAnsi="Calibri" w:cs="Calibri"/>
        </w:rPr>
        <w:t xml:space="preserve">Post </w:t>
      </w:r>
      <w:r w:rsidR="009668E9">
        <w:rPr>
          <w:rFonts w:ascii="Calibri" w:hAnsi="Calibri" w:cs="Calibri"/>
        </w:rPr>
        <w:t>–</w:t>
      </w:r>
      <w:r>
        <w:rPr>
          <w:rFonts w:ascii="Calibri" w:hAnsi="Calibri" w:cs="Calibri"/>
        </w:rPr>
        <w:t xml:space="preserve"> </w:t>
      </w:r>
      <w:r w:rsidR="009668E9">
        <w:rPr>
          <w:rFonts w:ascii="Calibri" w:hAnsi="Calibri" w:cs="Calibri"/>
        </w:rPr>
        <w:t>Again,</w:t>
      </w:r>
      <w:r w:rsidR="00AF69C8">
        <w:rPr>
          <w:rFonts w:ascii="Calibri" w:hAnsi="Calibri" w:cs="Calibri"/>
        </w:rPr>
        <w:t xml:space="preserve"> </w:t>
      </w:r>
      <w:r w:rsidR="009668E9">
        <w:rPr>
          <w:rFonts w:ascii="Calibri" w:hAnsi="Calibri" w:cs="Calibri"/>
        </w:rPr>
        <w:t>the publication of consistent templates for capturing learnings would be beneficial</w:t>
      </w:r>
      <w:r w:rsidR="001A42D0">
        <w:rPr>
          <w:rFonts w:ascii="Calibri" w:hAnsi="Calibri" w:cs="Calibri"/>
        </w:rPr>
        <w:t xml:space="preserve">. Ofgem could broaden the scope of the proposed open forums in the governance structure to </w:t>
      </w:r>
      <w:r w:rsidR="000C0541">
        <w:rPr>
          <w:rFonts w:ascii="Calibri" w:hAnsi="Calibri" w:cs="Calibri"/>
        </w:rPr>
        <w:t xml:space="preserve">socialise lessons learnt </w:t>
      </w:r>
      <w:r w:rsidR="0096082C">
        <w:rPr>
          <w:rFonts w:ascii="Calibri" w:hAnsi="Calibri" w:cs="Calibri"/>
        </w:rPr>
        <w:t>or risks</w:t>
      </w:r>
      <w:r w:rsidR="004A3814">
        <w:rPr>
          <w:rFonts w:ascii="Calibri" w:hAnsi="Calibri" w:cs="Calibri"/>
        </w:rPr>
        <w:t xml:space="preserve"> </w:t>
      </w:r>
      <w:r w:rsidR="0096082C">
        <w:rPr>
          <w:rFonts w:ascii="Calibri" w:hAnsi="Calibri" w:cs="Calibri"/>
        </w:rPr>
        <w:t xml:space="preserve">identified, </w:t>
      </w:r>
      <w:r w:rsidR="004A3814">
        <w:rPr>
          <w:rFonts w:ascii="Calibri" w:hAnsi="Calibri" w:cs="Calibri"/>
        </w:rPr>
        <w:t xml:space="preserve">and encourage </w:t>
      </w:r>
      <w:r w:rsidR="00774BA3">
        <w:rPr>
          <w:rFonts w:ascii="Calibri" w:hAnsi="Calibri" w:cs="Calibri"/>
        </w:rPr>
        <w:t>knowledge sharing between participants.</w:t>
      </w:r>
      <w:r w:rsidR="00BF101A">
        <w:rPr>
          <w:rFonts w:ascii="Calibri" w:hAnsi="Calibri" w:cs="Calibri"/>
        </w:rPr>
        <w:t xml:space="preserve"> Finally,  formally mapping how</w:t>
      </w:r>
      <w:r w:rsidR="003D7B6A">
        <w:rPr>
          <w:rFonts w:ascii="Calibri" w:hAnsi="Calibri" w:cs="Calibri"/>
        </w:rPr>
        <w:t xml:space="preserve"> solutions coming out of the sandbox could feed into</w:t>
      </w:r>
      <w:r w:rsidR="00BF101A">
        <w:rPr>
          <w:rFonts w:ascii="Calibri" w:hAnsi="Calibri" w:cs="Calibri"/>
        </w:rPr>
        <w:t xml:space="preserve"> the other </w:t>
      </w:r>
      <w:r w:rsidR="005C4543">
        <w:rPr>
          <w:rFonts w:ascii="Calibri" w:hAnsi="Calibri" w:cs="Calibri"/>
        </w:rPr>
        <w:t>initiatives listed in Q3</w:t>
      </w:r>
      <w:r w:rsidR="00302D63">
        <w:rPr>
          <w:rFonts w:ascii="Calibri" w:hAnsi="Calibri" w:cs="Calibri"/>
        </w:rPr>
        <w:t xml:space="preserve"> </w:t>
      </w:r>
      <w:r w:rsidR="003D7B6A">
        <w:rPr>
          <w:rFonts w:ascii="Calibri" w:hAnsi="Calibri" w:cs="Calibri"/>
        </w:rPr>
        <w:t>would be beneficial</w:t>
      </w:r>
      <w:r w:rsidR="004D4393">
        <w:rPr>
          <w:rFonts w:ascii="Calibri" w:hAnsi="Calibri" w:cs="Calibri"/>
        </w:rPr>
        <w:t>.</w:t>
      </w:r>
      <w:r w:rsidR="00302D63">
        <w:rPr>
          <w:rFonts w:ascii="Calibri" w:hAnsi="Calibri" w:cs="Calibri"/>
        </w:rPr>
        <w:t xml:space="preserve"> </w:t>
      </w:r>
    </w:p>
    <w:p w14:paraId="3B1EAD90" w14:textId="77777777" w:rsidR="004D4393" w:rsidRDefault="004D4393" w:rsidP="004D4393">
      <w:pPr>
        <w:rPr>
          <w:rFonts w:ascii="Calibri" w:hAnsi="Calibri" w:cs="Calibri"/>
        </w:rPr>
      </w:pPr>
    </w:p>
    <w:p w14:paraId="428DA0E4" w14:textId="77777777" w:rsidR="004D4393" w:rsidRDefault="004D4393" w:rsidP="004D4393">
      <w:pPr>
        <w:rPr>
          <w:rFonts w:ascii="Calibri" w:hAnsi="Calibri" w:cs="Calibri"/>
        </w:rPr>
      </w:pPr>
    </w:p>
    <w:p w14:paraId="0EBCF3C8" w14:textId="77777777" w:rsidR="007A750C" w:rsidRDefault="007A750C" w:rsidP="004D4393">
      <w:pPr>
        <w:rPr>
          <w:rFonts w:ascii="Calibri" w:hAnsi="Calibri" w:cs="Calibri"/>
        </w:rPr>
      </w:pPr>
    </w:p>
    <w:p w14:paraId="27F450F9" w14:textId="325FCFBD" w:rsidR="004D4393" w:rsidRDefault="00320F24" w:rsidP="00320F24">
      <w:pPr>
        <w:rPr>
          <w:rFonts w:ascii="Calibri" w:hAnsi="Calibri" w:cs="Calibri"/>
        </w:rPr>
      </w:pPr>
      <w:r w:rsidRPr="0015472A">
        <w:rPr>
          <w:rStyle w:val="Heading3Char"/>
          <w:rFonts w:ascii="Calibri" w:hAnsi="Calibri" w:cs="Calibri"/>
          <w:b/>
          <w:bCs/>
          <w:color w:val="auto"/>
          <w:sz w:val="24"/>
          <w:szCs w:val="24"/>
        </w:rPr>
        <w:t>Q8. General feedback</w:t>
      </w:r>
      <w:r w:rsidRPr="0015472A">
        <w:rPr>
          <w:rFonts w:ascii="Calibri" w:hAnsi="Calibri" w:cs="Calibri"/>
          <w:b/>
          <w:bCs/>
        </w:rPr>
        <w:t xml:space="preserve"> </w:t>
      </w:r>
      <w:r w:rsidRPr="001809A8">
        <w:rPr>
          <w:rFonts w:ascii="Calibri" w:hAnsi="Calibri" w:cs="Calibri"/>
          <w:b/>
          <w:bCs/>
          <w:sz w:val="24"/>
          <w:szCs w:val="24"/>
        </w:rPr>
        <w:t>- Do you have any other comments, suggestions, or concerns regarding the proposed pilot, the consultation process, or the expected outcomes? Please provide evidence, examples, or reasoning to support your responses wherever possible.</w:t>
      </w:r>
    </w:p>
    <w:p w14:paraId="4CDAE381" w14:textId="711F91FF" w:rsidR="00320F24" w:rsidRPr="004D4393" w:rsidRDefault="00320F24" w:rsidP="00320F24">
      <w:pPr>
        <w:rPr>
          <w:rFonts w:ascii="Calibri" w:hAnsi="Calibri" w:cs="Calibri"/>
        </w:rPr>
      </w:pPr>
      <w:r>
        <w:rPr>
          <w:rFonts w:ascii="Calibri" w:hAnsi="Calibri" w:cs="Calibri"/>
        </w:rPr>
        <w:t xml:space="preserve">Nothing further to add except to reiterate NGNs commitment to </w:t>
      </w:r>
      <w:r w:rsidR="001809A8">
        <w:rPr>
          <w:rFonts w:ascii="Calibri" w:hAnsi="Calibri" w:cs="Calibri"/>
        </w:rPr>
        <w:t>supporting</w:t>
      </w:r>
      <w:r>
        <w:rPr>
          <w:rFonts w:ascii="Calibri" w:hAnsi="Calibri" w:cs="Calibri"/>
        </w:rPr>
        <w:t xml:space="preserve"> this init</w:t>
      </w:r>
      <w:r w:rsidR="001809A8">
        <w:rPr>
          <w:rFonts w:ascii="Calibri" w:hAnsi="Calibri" w:cs="Calibri"/>
        </w:rPr>
        <w:t>iative.</w:t>
      </w:r>
    </w:p>
    <w:sectPr w:rsidR="00320F24" w:rsidRPr="004D439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B80B2" w14:textId="77777777" w:rsidR="006C6D60" w:rsidRDefault="006C6D60" w:rsidP="00415C4D">
      <w:pPr>
        <w:spacing w:after="0" w:line="240" w:lineRule="auto"/>
      </w:pPr>
      <w:r>
        <w:separator/>
      </w:r>
    </w:p>
  </w:endnote>
  <w:endnote w:type="continuationSeparator" w:id="0">
    <w:p w14:paraId="524EF0FC" w14:textId="77777777" w:rsidR="006C6D60" w:rsidRDefault="006C6D60" w:rsidP="00415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9E02" w14:textId="1B058DEB" w:rsidR="00415C4D" w:rsidRDefault="00415C4D">
    <w:pPr>
      <w:pStyle w:val="Footer"/>
    </w:pPr>
    <w:r>
      <w:rPr>
        <w:noProof/>
      </w:rPr>
      <mc:AlternateContent>
        <mc:Choice Requires="wps">
          <w:drawing>
            <wp:anchor distT="0" distB="0" distL="0" distR="0" simplePos="0" relativeHeight="251662336" behindDoc="0" locked="0" layoutInCell="1" allowOverlap="1" wp14:anchorId="3F2223EC" wp14:editId="212EC3CF">
              <wp:simplePos x="635" y="635"/>
              <wp:positionH relativeFrom="page">
                <wp:align>center</wp:align>
              </wp:positionH>
              <wp:positionV relativeFrom="page">
                <wp:align>bottom</wp:align>
              </wp:positionV>
              <wp:extent cx="504825" cy="352425"/>
              <wp:effectExtent l="0" t="0" r="9525" b="0"/>
              <wp:wrapNone/>
              <wp:docPr id="89334437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4825" cy="352425"/>
                      </a:xfrm>
                      <a:prstGeom prst="rect">
                        <a:avLst/>
                      </a:prstGeom>
                      <a:noFill/>
                      <a:ln>
                        <a:noFill/>
                      </a:ln>
                    </wps:spPr>
                    <wps:txbx>
                      <w:txbxContent>
                        <w:p w14:paraId="7900C70A" w14:textId="2DE0B93A"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2223EC" id="_x0000_t202" coordsize="21600,21600" o:spt="202" path="m,l,21600r21600,l21600,xe">
              <v:stroke joinstyle="miter"/>
              <v:path gradientshapeok="t" o:connecttype="rect"/>
            </v:shapetype>
            <v:shape id="Text Box 5" o:spid="_x0000_s1028" type="#_x0000_t202" alt="OFFICIAL" style="position:absolute;margin-left:0;margin-top:0;width:39.75pt;height:27.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" filled="f" stroked="f">
              <v:fill o:detectmouseclick="t"/>
              <v:textbox style="mso-fit-shape-to-text:t" inset="0,0,0,15pt">
                <w:txbxContent>
                  <w:p w14:paraId="7900C70A" w14:textId="2DE0B93A"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B633B" w14:textId="095CC222" w:rsidR="00415C4D" w:rsidRDefault="00415C4D">
    <w:pPr>
      <w:pStyle w:val="Footer"/>
    </w:pPr>
    <w:r>
      <w:rPr>
        <w:noProof/>
      </w:rPr>
      <mc:AlternateContent>
        <mc:Choice Requires="wps">
          <w:drawing>
            <wp:anchor distT="0" distB="0" distL="0" distR="0" simplePos="0" relativeHeight="251663360" behindDoc="0" locked="0" layoutInCell="1" allowOverlap="1" wp14:anchorId="46904DB2" wp14:editId="203DBB73">
              <wp:simplePos x="635" y="635"/>
              <wp:positionH relativeFrom="page">
                <wp:align>center</wp:align>
              </wp:positionH>
              <wp:positionV relativeFrom="page">
                <wp:align>bottom</wp:align>
              </wp:positionV>
              <wp:extent cx="504825" cy="352425"/>
              <wp:effectExtent l="0" t="0" r="9525" b="0"/>
              <wp:wrapNone/>
              <wp:docPr id="171340142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4825" cy="352425"/>
                      </a:xfrm>
                      <a:prstGeom prst="rect">
                        <a:avLst/>
                      </a:prstGeom>
                      <a:noFill/>
                      <a:ln>
                        <a:noFill/>
                      </a:ln>
                    </wps:spPr>
                    <wps:txbx>
                      <w:txbxContent>
                        <w:p w14:paraId="45951E08" w14:textId="04ADF286"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904DB2" id="_x0000_t202" coordsize="21600,21600" o:spt="202" path="m,l,21600r21600,l21600,xe">
              <v:stroke joinstyle="miter"/>
              <v:path gradientshapeok="t" o:connecttype="rect"/>
            </v:shapetype>
            <v:shape id="Text Box 6" o:spid="_x0000_s1029" type="#_x0000_t202" alt="OFFICIAL" style="position:absolute;margin-left:0;margin-top:0;width:39.75pt;height:27.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" filled="f" stroked="f">
              <v:fill o:detectmouseclick="t"/>
              <v:textbox style="mso-fit-shape-to-text:t" inset="0,0,0,15pt">
                <w:txbxContent>
                  <w:p w14:paraId="45951E08" w14:textId="04ADF286"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EBE46" w14:textId="1AB20C80" w:rsidR="00415C4D" w:rsidRDefault="00415C4D">
    <w:pPr>
      <w:pStyle w:val="Footer"/>
    </w:pPr>
    <w:r>
      <w:rPr>
        <w:noProof/>
      </w:rPr>
      <mc:AlternateContent>
        <mc:Choice Requires="wps">
          <w:drawing>
            <wp:anchor distT="0" distB="0" distL="0" distR="0" simplePos="0" relativeHeight="251661312" behindDoc="0" locked="0" layoutInCell="1" allowOverlap="1" wp14:anchorId="3B9644DF" wp14:editId="7BA2F8D7">
              <wp:simplePos x="635" y="635"/>
              <wp:positionH relativeFrom="page">
                <wp:align>center</wp:align>
              </wp:positionH>
              <wp:positionV relativeFrom="page">
                <wp:align>bottom</wp:align>
              </wp:positionV>
              <wp:extent cx="504825" cy="352425"/>
              <wp:effectExtent l="0" t="0" r="9525" b="0"/>
              <wp:wrapNone/>
              <wp:docPr id="179077212"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4825" cy="352425"/>
                      </a:xfrm>
                      <a:prstGeom prst="rect">
                        <a:avLst/>
                      </a:prstGeom>
                      <a:noFill/>
                      <a:ln>
                        <a:noFill/>
                      </a:ln>
                    </wps:spPr>
                    <wps:txbx>
                      <w:txbxContent>
                        <w:p w14:paraId="5D029423" w14:textId="46F9E3BF"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644DF" id="_x0000_t202" coordsize="21600,21600" o:spt="202" path="m,l,21600r21600,l21600,xe">
              <v:stroke joinstyle="miter"/>
              <v:path gradientshapeok="t" o:connecttype="rect"/>
            </v:shapetype>
            <v:shape id="Text Box 4" o:spid="_x0000_s1031" type="#_x0000_t202" alt="OFFICIAL" style="position:absolute;margin-left:0;margin-top:0;width:39.75pt;height:27.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" filled="f" stroked="f">
              <v:fill o:detectmouseclick="t"/>
              <v:textbox style="mso-fit-shape-to-text:t" inset="0,0,0,15pt">
                <w:txbxContent>
                  <w:p w14:paraId="5D029423" w14:textId="46F9E3BF"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D86C2" w14:textId="77777777" w:rsidR="006C6D60" w:rsidRDefault="006C6D60" w:rsidP="00415C4D">
      <w:pPr>
        <w:spacing w:after="0" w:line="240" w:lineRule="auto"/>
      </w:pPr>
      <w:r>
        <w:separator/>
      </w:r>
    </w:p>
  </w:footnote>
  <w:footnote w:type="continuationSeparator" w:id="0">
    <w:p w14:paraId="3EABEB3D" w14:textId="77777777" w:rsidR="006C6D60" w:rsidRDefault="006C6D60" w:rsidP="00415C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39019" w14:textId="4E0E5298" w:rsidR="00415C4D" w:rsidRDefault="00415C4D">
    <w:pPr>
      <w:pStyle w:val="Header"/>
    </w:pPr>
    <w:r>
      <w:rPr>
        <w:noProof/>
      </w:rPr>
      <mc:AlternateContent>
        <mc:Choice Requires="wps">
          <w:drawing>
            <wp:anchor distT="0" distB="0" distL="0" distR="0" simplePos="0" relativeHeight="251659264" behindDoc="0" locked="0" layoutInCell="1" allowOverlap="1" wp14:anchorId="16837600" wp14:editId="15293E3C">
              <wp:simplePos x="635" y="635"/>
              <wp:positionH relativeFrom="page">
                <wp:align>center</wp:align>
              </wp:positionH>
              <wp:positionV relativeFrom="page">
                <wp:align>top</wp:align>
              </wp:positionV>
              <wp:extent cx="504825" cy="352425"/>
              <wp:effectExtent l="0" t="0" r="9525" b="9525"/>
              <wp:wrapNone/>
              <wp:docPr id="160391879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4825" cy="352425"/>
                      </a:xfrm>
                      <a:prstGeom prst="rect">
                        <a:avLst/>
                      </a:prstGeom>
                      <a:noFill/>
                      <a:ln>
                        <a:noFill/>
                      </a:ln>
                    </wps:spPr>
                    <wps:txbx>
                      <w:txbxContent>
                        <w:p w14:paraId="4544C87F" w14:textId="7ACC92D0"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837600" id="_x0000_t202" coordsize="21600,21600" o:spt="202" path="m,l,21600r21600,l21600,xe">
              <v:stroke joinstyle="miter"/>
              <v:path gradientshapeok="t" o:connecttype="rect"/>
            </v:shapetype>
            <v:shape id="Text Box 2" o:spid="_x0000_s1026" type="#_x0000_t202" alt="OFFICIAL" style="position:absolute;margin-left:0;margin-top:0;width:39.75pt;height:27.7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" filled="f" stroked="f">
              <v:fill o:detectmouseclick="t"/>
              <v:textbox style="mso-fit-shape-to-text:t" inset="0,15pt,0,0">
                <w:txbxContent>
                  <w:p w14:paraId="4544C87F" w14:textId="7ACC92D0"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C35D" w14:textId="7E323568" w:rsidR="00415C4D" w:rsidRDefault="00415C4D">
    <w:pPr>
      <w:pStyle w:val="Header"/>
    </w:pPr>
    <w:r>
      <w:rPr>
        <w:noProof/>
      </w:rPr>
      <mc:AlternateContent>
        <mc:Choice Requires="wps">
          <w:drawing>
            <wp:anchor distT="0" distB="0" distL="0" distR="0" simplePos="0" relativeHeight="251660288" behindDoc="0" locked="0" layoutInCell="1" allowOverlap="1" wp14:anchorId="6737CF57" wp14:editId="371C1B16">
              <wp:simplePos x="635" y="635"/>
              <wp:positionH relativeFrom="page">
                <wp:align>center</wp:align>
              </wp:positionH>
              <wp:positionV relativeFrom="page">
                <wp:align>top</wp:align>
              </wp:positionV>
              <wp:extent cx="504825" cy="352425"/>
              <wp:effectExtent l="0" t="0" r="9525" b="9525"/>
              <wp:wrapNone/>
              <wp:docPr id="45021507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4825" cy="352425"/>
                      </a:xfrm>
                      <a:prstGeom prst="rect">
                        <a:avLst/>
                      </a:prstGeom>
                      <a:noFill/>
                      <a:ln>
                        <a:noFill/>
                      </a:ln>
                    </wps:spPr>
                    <wps:txbx>
                      <w:txbxContent>
                        <w:p w14:paraId="19CBC3BC" w14:textId="3920B713"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37CF57" id="_x0000_t202" coordsize="21600,21600" o:spt="202" path="m,l,21600r21600,l21600,xe">
              <v:stroke joinstyle="miter"/>
              <v:path gradientshapeok="t" o:connecttype="rect"/>
            </v:shapetype>
            <v:shape id="Text Box 3" o:spid="_x0000_s1027" type="#_x0000_t202" alt="OFFICIAL" style="position:absolute;margin-left:0;margin-top:0;width:39.75pt;height:27.7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" filled="f" stroked="f">
              <v:fill o:detectmouseclick="t"/>
              <v:textbox style="mso-fit-shape-to-text:t" inset="0,15pt,0,0">
                <w:txbxContent>
                  <w:p w14:paraId="19CBC3BC" w14:textId="3920B713"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7434" w14:textId="3F10B8FE" w:rsidR="00415C4D" w:rsidRDefault="00415C4D">
    <w:pPr>
      <w:pStyle w:val="Header"/>
    </w:pPr>
    <w:r>
      <w:rPr>
        <w:noProof/>
      </w:rPr>
      <mc:AlternateContent>
        <mc:Choice Requires="wps">
          <w:drawing>
            <wp:anchor distT="0" distB="0" distL="0" distR="0" simplePos="0" relativeHeight="251658240" behindDoc="0" locked="0" layoutInCell="1" allowOverlap="1" wp14:anchorId="7F95BA51" wp14:editId="5F5167FD">
              <wp:simplePos x="635" y="635"/>
              <wp:positionH relativeFrom="page">
                <wp:align>center</wp:align>
              </wp:positionH>
              <wp:positionV relativeFrom="page">
                <wp:align>top</wp:align>
              </wp:positionV>
              <wp:extent cx="504825" cy="352425"/>
              <wp:effectExtent l="0" t="0" r="9525" b="9525"/>
              <wp:wrapNone/>
              <wp:docPr id="43528712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4825" cy="352425"/>
                      </a:xfrm>
                      <a:prstGeom prst="rect">
                        <a:avLst/>
                      </a:prstGeom>
                      <a:noFill/>
                      <a:ln>
                        <a:noFill/>
                      </a:ln>
                    </wps:spPr>
                    <wps:txbx>
                      <w:txbxContent>
                        <w:p w14:paraId="56ACD8D2" w14:textId="4006C8C8"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5BA51" id="_x0000_t202" coordsize="21600,21600" o:spt="202" path="m,l,21600r21600,l21600,xe">
              <v:stroke joinstyle="miter"/>
              <v:path gradientshapeok="t" o:connecttype="rect"/>
            </v:shapetype>
            <v:shape id="Text Box 1" o:spid="_x0000_s1030" type="#_x0000_t202" alt="OFFICIAL" style="position:absolute;margin-left:0;margin-top:0;width:39.75pt;height:27.7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" filled="f" stroked="f">
              <v:fill o:detectmouseclick="t"/>
              <v:textbox style="mso-fit-shape-to-text:t" inset="0,15pt,0,0">
                <w:txbxContent>
                  <w:p w14:paraId="56ACD8D2" w14:textId="4006C8C8" w:rsidR="00415C4D" w:rsidRPr="00415C4D" w:rsidRDefault="00415C4D" w:rsidP="00415C4D">
                    <w:pPr>
                      <w:spacing w:after="0"/>
                      <w:rPr>
                        <w:rFonts w:ascii="Aptos" w:eastAsia="Aptos" w:hAnsi="Aptos" w:cs="Aptos"/>
                        <w:noProof/>
                        <w:color w:val="000000"/>
                        <w:sz w:val="20"/>
                        <w:szCs w:val="20"/>
                      </w:rPr>
                    </w:pPr>
                    <w:r w:rsidRPr="00415C4D">
                      <w:rPr>
                        <w:rFonts w:ascii="Aptos" w:eastAsia="Aptos" w:hAnsi="Aptos" w:cs="Aptos"/>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27A1C"/>
    <w:multiLevelType w:val="multilevel"/>
    <w:tmpl w:val="8B6E9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DA4451"/>
    <w:multiLevelType w:val="hybridMultilevel"/>
    <w:tmpl w:val="CCE404C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6996081">
    <w:abstractNumId w:val="0"/>
  </w:num>
  <w:num w:numId="2" w16cid:durableId="782577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388"/>
    <w:rsid w:val="00011464"/>
    <w:rsid w:val="00017EAE"/>
    <w:rsid w:val="000250E0"/>
    <w:rsid w:val="0007502B"/>
    <w:rsid w:val="000A3805"/>
    <w:rsid w:val="000A3897"/>
    <w:rsid w:val="000A6779"/>
    <w:rsid w:val="000B11D6"/>
    <w:rsid w:val="000B5BD6"/>
    <w:rsid w:val="000C0541"/>
    <w:rsid w:val="000D0B90"/>
    <w:rsid w:val="000F0026"/>
    <w:rsid w:val="00114028"/>
    <w:rsid w:val="00117136"/>
    <w:rsid w:val="00140C31"/>
    <w:rsid w:val="0015472A"/>
    <w:rsid w:val="00155E87"/>
    <w:rsid w:val="001809A8"/>
    <w:rsid w:val="0018422B"/>
    <w:rsid w:val="00191AD5"/>
    <w:rsid w:val="001A42D0"/>
    <w:rsid w:val="001A6BB6"/>
    <w:rsid w:val="001E589C"/>
    <w:rsid w:val="001F5F71"/>
    <w:rsid w:val="00223B88"/>
    <w:rsid w:val="00252662"/>
    <w:rsid w:val="00270D67"/>
    <w:rsid w:val="00297909"/>
    <w:rsid w:val="002E6472"/>
    <w:rsid w:val="00302D63"/>
    <w:rsid w:val="00307B33"/>
    <w:rsid w:val="003111CD"/>
    <w:rsid w:val="00320F24"/>
    <w:rsid w:val="00337A5A"/>
    <w:rsid w:val="00343832"/>
    <w:rsid w:val="0034422A"/>
    <w:rsid w:val="00355255"/>
    <w:rsid w:val="00355619"/>
    <w:rsid w:val="00357327"/>
    <w:rsid w:val="00357570"/>
    <w:rsid w:val="00374EDD"/>
    <w:rsid w:val="00382483"/>
    <w:rsid w:val="003956EF"/>
    <w:rsid w:val="003B15C6"/>
    <w:rsid w:val="003C4B1F"/>
    <w:rsid w:val="003D7B6A"/>
    <w:rsid w:val="003E1BF1"/>
    <w:rsid w:val="003E5711"/>
    <w:rsid w:val="00415C4D"/>
    <w:rsid w:val="00446721"/>
    <w:rsid w:val="004734A5"/>
    <w:rsid w:val="00493B7E"/>
    <w:rsid w:val="004A3814"/>
    <w:rsid w:val="004B0F4E"/>
    <w:rsid w:val="004D4393"/>
    <w:rsid w:val="004E5B67"/>
    <w:rsid w:val="004F2000"/>
    <w:rsid w:val="004F44DC"/>
    <w:rsid w:val="005061DF"/>
    <w:rsid w:val="005243F0"/>
    <w:rsid w:val="00532973"/>
    <w:rsid w:val="00544BFC"/>
    <w:rsid w:val="005462AE"/>
    <w:rsid w:val="00553266"/>
    <w:rsid w:val="00577DD0"/>
    <w:rsid w:val="00585163"/>
    <w:rsid w:val="00586A37"/>
    <w:rsid w:val="00594DB7"/>
    <w:rsid w:val="005A2DAC"/>
    <w:rsid w:val="005A5230"/>
    <w:rsid w:val="005C4543"/>
    <w:rsid w:val="00622D3F"/>
    <w:rsid w:val="00624544"/>
    <w:rsid w:val="00654652"/>
    <w:rsid w:val="0065584C"/>
    <w:rsid w:val="00656675"/>
    <w:rsid w:val="006767F9"/>
    <w:rsid w:val="0068092D"/>
    <w:rsid w:val="00693153"/>
    <w:rsid w:val="00697BB5"/>
    <w:rsid w:val="006B1CD9"/>
    <w:rsid w:val="006B33FC"/>
    <w:rsid w:val="006C6D60"/>
    <w:rsid w:val="006D0A44"/>
    <w:rsid w:val="006D53E1"/>
    <w:rsid w:val="007140B4"/>
    <w:rsid w:val="00723A7F"/>
    <w:rsid w:val="007252BC"/>
    <w:rsid w:val="0073567D"/>
    <w:rsid w:val="00742952"/>
    <w:rsid w:val="0074357E"/>
    <w:rsid w:val="00744ADF"/>
    <w:rsid w:val="007549F5"/>
    <w:rsid w:val="00757BD5"/>
    <w:rsid w:val="00767CDB"/>
    <w:rsid w:val="00774BA3"/>
    <w:rsid w:val="0079008F"/>
    <w:rsid w:val="007A750C"/>
    <w:rsid w:val="007B3AB2"/>
    <w:rsid w:val="007D6C4A"/>
    <w:rsid w:val="007F4137"/>
    <w:rsid w:val="007F5BBA"/>
    <w:rsid w:val="00824BCF"/>
    <w:rsid w:val="00826E77"/>
    <w:rsid w:val="00844647"/>
    <w:rsid w:val="008467D3"/>
    <w:rsid w:val="0085703C"/>
    <w:rsid w:val="008E04BD"/>
    <w:rsid w:val="008E5540"/>
    <w:rsid w:val="008F5BB0"/>
    <w:rsid w:val="00947083"/>
    <w:rsid w:val="0096082C"/>
    <w:rsid w:val="00961BDA"/>
    <w:rsid w:val="009668E9"/>
    <w:rsid w:val="00975A0D"/>
    <w:rsid w:val="00992F57"/>
    <w:rsid w:val="009D1782"/>
    <w:rsid w:val="00A112A4"/>
    <w:rsid w:val="00A57511"/>
    <w:rsid w:val="00A74F2D"/>
    <w:rsid w:val="00A933FB"/>
    <w:rsid w:val="00A96CBF"/>
    <w:rsid w:val="00AB320D"/>
    <w:rsid w:val="00AD4A5C"/>
    <w:rsid w:val="00AF62B5"/>
    <w:rsid w:val="00AF69C8"/>
    <w:rsid w:val="00B1676A"/>
    <w:rsid w:val="00B22ACB"/>
    <w:rsid w:val="00B30147"/>
    <w:rsid w:val="00B329E5"/>
    <w:rsid w:val="00B468FD"/>
    <w:rsid w:val="00B607F0"/>
    <w:rsid w:val="00BC212B"/>
    <w:rsid w:val="00BF0DA9"/>
    <w:rsid w:val="00BF101A"/>
    <w:rsid w:val="00C163A4"/>
    <w:rsid w:val="00C20C55"/>
    <w:rsid w:val="00C33572"/>
    <w:rsid w:val="00C35448"/>
    <w:rsid w:val="00C3686A"/>
    <w:rsid w:val="00C47564"/>
    <w:rsid w:val="00C64EAA"/>
    <w:rsid w:val="00C70780"/>
    <w:rsid w:val="00C876A7"/>
    <w:rsid w:val="00C91D44"/>
    <w:rsid w:val="00CA6F22"/>
    <w:rsid w:val="00CA7C2B"/>
    <w:rsid w:val="00CB3371"/>
    <w:rsid w:val="00CD6BB4"/>
    <w:rsid w:val="00CE61BB"/>
    <w:rsid w:val="00D161C6"/>
    <w:rsid w:val="00D21802"/>
    <w:rsid w:val="00D42B41"/>
    <w:rsid w:val="00D46480"/>
    <w:rsid w:val="00D47E4E"/>
    <w:rsid w:val="00D65214"/>
    <w:rsid w:val="00DB69AA"/>
    <w:rsid w:val="00DC1E2B"/>
    <w:rsid w:val="00DC5010"/>
    <w:rsid w:val="00DC6870"/>
    <w:rsid w:val="00DE04D2"/>
    <w:rsid w:val="00DE332A"/>
    <w:rsid w:val="00DF2A10"/>
    <w:rsid w:val="00E17DC8"/>
    <w:rsid w:val="00E32364"/>
    <w:rsid w:val="00E32926"/>
    <w:rsid w:val="00E53F79"/>
    <w:rsid w:val="00E57F1C"/>
    <w:rsid w:val="00E62053"/>
    <w:rsid w:val="00E77BF1"/>
    <w:rsid w:val="00E84203"/>
    <w:rsid w:val="00E86A6B"/>
    <w:rsid w:val="00E910C1"/>
    <w:rsid w:val="00EA0E86"/>
    <w:rsid w:val="00EA2A68"/>
    <w:rsid w:val="00EC561F"/>
    <w:rsid w:val="00EE25A1"/>
    <w:rsid w:val="00EF77E3"/>
    <w:rsid w:val="00EF78E1"/>
    <w:rsid w:val="00F040D0"/>
    <w:rsid w:val="00F47148"/>
    <w:rsid w:val="00F60CC4"/>
    <w:rsid w:val="00F61272"/>
    <w:rsid w:val="00F639FF"/>
    <w:rsid w:val="00F815EB"/>
    <w:rsid w:val="00F8246D"/>
    <w:rsid w:val="00FB288B"/>
    <w:rsid w:val="00FE5D27"/>
    <w:rsid w:val="00FF5388"/>
    <w:rsid w:val="542490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5A740"/>
  <w15:chartTrackingRefBased/>
  <w15:docId w15:val="{57E91122-8CAE-4680-88E7-051652A29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53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F53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F53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53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53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53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53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53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53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53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F53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F53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53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53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53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53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53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5388"/>
    <w:rPr>
      <w:rFonts w:eastAsiaTheme="majorEastAsia" w:cstheme="majorBidi"/>
      <w:color w:val="272727" w:themeColor="text1" w:themeTint="D8"/>
    </w:rPr>
  </w:style>
  <w:style w:type="paragraph" w:styleId="Title">
    <w:name w:val="Title"/>
    <w:basedOn w:val="Normal"/>
    <w:next w:val="Normal"/>
    <w:link w:val="TitleChar"/>
    <w:uiPriority w:val="10"/>
    <w:qFormat/>
    <w:rsid w:val="00FF53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53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53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53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5388"/>
    <w:pPr>
      <w:spacing w:before="160"/>
      <w:jc w:val="center"/>
    </w:pPr>
    <w:rPr>
      <w:i/>
      <w:iCs/>
      <w:color w:val="404040" w:themeColor="text1" w:themeTint="BF"/>
    </w:rPr>
  </w:style>
  <w:style w:type="character" w:customStyle="1" w:styleId="QuoteChar">
    <w:name w:val="Quote Char"/>
    <w:basedOn w:val="DefaultParagraphFont"/>
    <w:link w:val="Quote"/>
    <w:uiPriority w:val="29"/>
    <w:rsid w:val="00FF5388"/>
    <w:rPr>
      <w:i/>
      <w:iCs/>
      <w:color w:val="404040" w:themeColor="text1" w:themeTint="BF"/>
    </w:rPr>
  </w:style>
  <w:style w:type="paragraph" w:styleId="ListParagraph">
    <w:name w:val="List Paragraph"/>
    <w:basedOn w:val="Normal"/>
    <w:uiPriority w:val="34"/>
    <w:qFormat/>
    <w:rsid w:val="00FF5388"/>
    <w:pPr>
      <w:ind w:left="720"/>
      <w:contextualSpacing/>
    </w:pPr>
  </w:style>
  <w:style w:type="character" w:styleId="IntenseEmphasis">
    <w:name w:val="Intense Emphasis"/>
    <w:basedOn w:val="DefaultParagraphFont"/>
    <w:uiPriority w:val="21"/>
    <w:qFormat/>
    <w:rsid w:val="00FF5388"/>
    <w:rPr>
      <w:i/>
      <w:iCs/>
      <w:color w:val="0F4761" w:themeColor="accent1" w:themeShade="BF"/>
    </w:rPr>
  </w:style>
  <w:style w:type="paragraph" w:styleId="IntenseQuote">
    <w:name w:val="Intense Quote"/>
    <w:basedOn w:val="Normal"/>
    <w:next w:val="Normal"/>
    <w:link w:val="IntenseQuoteChar"/>
    <w:uiPriority w:val="30"/>
    <w:qFormat/>
    <w:rsid w:val="00FF53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5388"/>
    <w:rPr>
      <w:i/>
      <w:iCs/>
      <w:color w:val="0F4761" w:themeColor="accent1" w:themeShade="BF"/>
    </w:rPr>
  </w:style>
  <w:style w:type="character" w:styleId="IntenseReference">
    <w:name w:val="Intense Reference"/>
    <w:basedOn w:val="DefaultParagraphFont"/>
    <w:uiPriority w:val="32"/>
    <w:qFormat/>
    <w:rsid w:val="00FF5388"/>
    <w:rPr>
      <w:b/>
      <w:bCs/>
      <w:smallCaps/>
      <w:color w:val="0F4761" w:themeColor="accent1" w:themeShade="BF"/>
      <w:spacing w:val="5"/>
    </w:rPr>
  </w:style>
  <w:style w:type="table" w:styleId="TableGrid">
    <w:name w:val="Table Grid"/>
    <w:basedOn w:val="TableNormal"/>
    <w:uiPriority w:val="39"/>
    <w:rsid w:val="00D16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C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5C4D"/>
  </w:style>
  <w:style w:type="paragraph" w:styleId="Footer">
    <w:name w:val="footer"/>
    <w:basedOn w:val="Normal"/>
    <w:link w:val="FooterChar"/>
    <w:uiPriority w:val="99"/>
    <w:unhideWhenUsed/>
    <w:rsid w:val="00415C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5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9FE5A163A0BA49B62EE8FDC3CC3AD2" ma:contentTypeVersion="17" ma:contentTypeDescription="Create a new document." ma:contentTypeScope="" ma:versionID="6586676598167c8bc4e349c8815fdbc7">
  <xsd:schema xmlns:xsd="http://www.w3.org/2001/XMLSchema" xmlns:xs="http://www.w3.org/2001/XMLSchema" xmlns:p="http://schemas.microsoft.com/office/2006/metadata/properties" xmlns:ns1="http://schemas.microsoft.com/sharepoint/v3" xmlns:ns2="39d9b90a-dc22-4b72-a3d3-09222a6369e3" xmlns:ns3="8f0c66ae-ea71-4efa-88c7-e4011843a5ec" targetNamespace="http://schemas.microsoft.com/office/2006/metadata/properties" ma:root="true" ma:fieldsID="fcf5166adb526367f467c1c556972da8" ns1:_="" ns2:_="" ns3:_="">
    <xsd:import namespace="http://schemas.microsoft.com/sharepoint/v3"/>
    <xsd:import namespace="39d9b90a-dc22-4b72-a3d3-09222a6369e3"/>
    <xsd:import namespace="8f0c66ae-ea71-4efa-88c7-e4011843a5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d9b90a-dc22-4b72-a3d3-09222a6369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c66ae-ea71-4efa-88c7-e4011843a5e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bf8ba5a-73df-4c6b-b13e-dfa0d2e7fce2}" ma:internalName="TaxCatchAll" ma:showField="CatchAllData" ma:web="8f0c66ae-ea71-4efa-88c7-e4011843a5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f0c66ae-ea71-4efa-88c7-e4011843a5ec" xsi:nil="true"/>
    <_ip_UnifiedCompliancePolicyUIAction xmlns="http://schemas.microsoft.com/sharepoint/v3" xsi:nil="true"/>
    <_ip_UnifiedCompliancePolicyProperties xmlns="http://schemas.microsoft.com/sharepoint/v3" xsi:nil="true"/>
    <lcf76f155ced4ddcb4097134ff3c332f xmlns="39d9b90a-dc22-4b72-a3d3-09222a6369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384875-DF19-4933-81D6-391934CAD7DD}">
  <ds:schemaRefs>
    <ds:schemaRef ds:uri="http://schemas.microsoft.com/sharepoint/v3/contenttype/forms"/>
  </ds:schemaRefs>
</ds:datastoreItem>
</file>

<file path=customXml/itemProps2.xml><?xml version="1.0" encoding="utf-8"?>
<ds:datastoreItem xmlns:ds="http://schemas.openxmlformats.org/officeDocument/2006/customXml" ds:itemID="{A471CD0F-031E-44AF-BF30-18632A01F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d9b90a-dc22-4b72-a3d3-09222a6369e3"/>
    <ds:schemaRef ds:uri="8f0c66ae-ea71-4efa-88c7-e4011843a5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3F998-25F9-41E7-9A2F-966423B753B4}">
  <ds:schemaRefs>
    <ds:schemaRef ds:uri="http://schemas.microsoft.com/office/2006/metadata/properties"/>
    <ds:schemaRef ds:uri="http://schemas.microsoft.com/office/infopath/2007/PartnerControls"/>
    <ds:schemaRef ds:uri="8f0c66ae-ea71-4efa-88c7-e4011843a5ec"/>
    <ds:schemaRef ds:uri="http://schemas.microsoft.com/sharepoint/v3"/>
    <ds:schemaRef ds:uri="39d9b90a-dc22-4b72-a3d3-09222a6369e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2148</Words>
  <Characters>12248</Characters>
  <Application>Microsoft Office Word</Application>
  <DocSecurity>0</DocSecurity>
  <Lines>102</Lines>
  <Paragraphs>28</Paragraphs>
  <ScaleCrop>false</ScaleCrop>
  <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Pollock</dc:creator>
  <cp:keywords/>
  <dc:description/>
  <cp:lastModifiedBy>Meadhbh Taylor</cp:lastModifiedBy>
  <cp:revision>167</cp:revision>
  <dcterms:created xsi:type="dcterms:W3CDTF">2026-04-01T14:12:00Z</dcterms:created>
  <dcterms:modified xsi:type="dcterms:W3CDTF">2026-04-01T14:12:00Z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0x0101001A9FE5A163A0BA49B62EE8FDC3CC3AD2</vt:lpwstr>
  </property>
  <property fmtid="{D5CDD505-2E9C-101B-9397-08002B2CF9AE}" pid="3" name="ClassificationContentMarkingHeaderShapeIds">
    <vt:lpwstr>19f1f454,5f99dbc8,1ad5bca3</vt:lpwstr>
  </property>
  <property fmtid="{D5CDD505-2E9C-101B-9397-08002B2CF9AE}" pid="4" name="ClassificationContentMarkingHeaderFontProps">
    <vt:lpwstr>#000000,10,Aptos</vt:lpwstr>
  </property>
  <property fmtid="{D5CDD505-2E9C-101B-9397-08002B2CF9AE}" pid="5" name="ClassificationContentMarkingHeaderText">
    <vt:lpwstr>OFFICIAL</vt:lpwstr>
  </property>
  <property fmtid="{D5CDD505-2E9C-101B-9397-08002B2CF9AE}" pid="6" name="ClassificationContentMarkingFooterShapeIds">
    <vt:lpwstr>aac805c,353f5a75,66206e55</vt:lpwstr>
  </property>
  <property fmtid="{D5CDD505-2E9C-101B-9397-08002B2CF9AE}" pid="7" name="ClassificationContentMarkingFooterFontProps">
    <vt:lpwstr>#000000,10,Aptos</vt:lpwstr>
  </property>
  <property fmtid="{D5CDD505-2E9C-101B-9397-08002B2CF9AE}" pid="8" name="ClassificationContentMarkingFooterText">
    <vt:lpwstr>OFFICIAL</vt:lpwstr>
  </property>
  <property fmtid="{D5CDD505-2E9C-101B-9397-08002B2CF9AE}" pid="9" name="MSIP_Label_5aee3434-f7af-4edb-a29e-2a21d151ac0d_Enabled">
    <vt:lpwstr>true</vt:lpwstr>
  </property>
  <property fmtid="{D5CDD505-2E9C-101B-9397-08002B2CF9AE}" pid="10" name="MSIP_Label_5aee3434-f7af-4edb-a29e-2a21d151ac0d_SetDate">
    <vt:lpwstr>2026-04-01T14:12:50Z</vt:lpwstr>
  </property>
  <property fmtid="{D5CDD505-2E9C-101B-9397-08002B2CF9AE}" pid="11" name="MSIP_Label_5aee3434-f7af-4edb-a29e-2a21d151ac0d_Method">
    <vt:lpwstr>Privileged</vt:lpwstr>
  </property>
  <property fmtid="{D5CDD505-2E9C-101B-9397-08002B2CF9AE}" pid="12" name="MSIP_Label_5aee3434-f7af-4edb-a29e-2a21d151ac0d_Name">
    <vt:lpwstr>OFFICIAL -</vt:lpwstr>
  </property>
  <property fmtid="{D5CDD505-2E9C-101B-9397-08002B2CF9AE}" pid="13" name="MSIP_Label_5aee3434-f7af-4edb-a29e-2a21d151ac0d_SiteId">
    <vt:lpwstr>185562ad-39bc-4840-8e40-be6216340c52</vt:lpwstr>
  </property>
  <property fmtid="{D5CDD505-2E9C-101B-9397-08002B2CF9AE}" pid="14" name="MSIP_Label_5aee3434-f7af-4edb-a29e-2a21d151ac0d_ActionId">
    <vt:lpwstr>3dd1a76c-13a2-44ee-9bbe-d94c9661cbf0</vt:lpwstr>
  </property>
  <property fmtid="{D5CDD505-2E9C-101B-9397-08002B2CF9AE}" pid="15" name="MSIP_Label_5aee3434-f7af-4edb-a29e-2a21d151ac0d_ContentBits">
    <vt:lpwstr>3</vt:lpwstr>
  </property>
  <property fmtid="{D5CDD505-2E9C-101B-9397-08002B2CF9AE}" pid="16" name="MSIP_Label_5aee3434-f7af-4edb-a29e-2a21d151ac0d_Tag">
    <vt:lpwstr>10, 0, 1, 2</vt:lpwstr>
  </property>
  <property fmtid="{D5CDD505-2E9C-101B-9397-08002B2CF9AE}" pid="17" name="MediaServiceImageTags">
    <vt:lpwstr/>
  </property>
  <property fmtid="{D5CDD505-2E9C-101B-9397-08002B2CF9AE}" pid="19" name="docLang">
    <vt:lpwstr>en</vt:lpwstr>
  </property>
</Properties>
</file>